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CF7A2F" w:rsidRDefault="00695762" w:rsidP="00BA2BBB">
      <w:pPr>
        <w:autoSpaceDE w:val="0"/>
        <w:autoSpaceDN w:val="0"/>
        <w:adjustRightInd w:val="0"/>
        <w:spacing w:line="240" w:lineRule="auto"/>
        <w:jc w:val="center"/>
        <w:rPr>
          <w:b/>
          <w:sz w:val="52"/>
          <w:szCs w:val="52"/>
          <w:u w:val="single"/>
          <w:vertAlign w:val="subscript"/>
        </w:rPr>
      </w:pPr>
      <w:proofErr w:type="spellStart"/>
      <w:r>
        <w:rPr>
          <w:b/>
          <w:sz w:val="52"/>
          <w:szCs w:val="52"/>
          <w:u w:val="single"/>
          <w:vertAlign w:val="subscript"/>
        </w:rPr>
        <w:t>Beton</w:t>
      </w:r>
      <w:proofErr w:type="spellEnd"/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 w:rsidR="0089756C">
        <w:t xml:space="preserve">    </w:t>
      </w:r>
      <w:r w:rsidR="00DF07FF">
        <w:t>Dallage</w:t>
      </w:r>
      <w:r w:rsidR="00BA2BBB">
        <w:t xml:space="preserve">  version  1</w:t>
      </w:r>
      <w:r>
        <w:t>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FD5D06" w:rsidRPr="00FD5D06" w:rsidRDefault="00FD5D06" w:rsidP="00FD5D06">
      <w:r w:rsidRPr="00FD5D06">
        <w:t>Ce formulaire permet d’in</w:t>
      </w:r>
      <w:r w:rsidR="00695762">
        <w:t>diquer les caractéristiques du béton utilisé pour la confection du</w:t>
      </w:r>
      <w:r w:rsidRPr="00FD5D06">
        <w:t xml:space="preserve"> dallage.</w:t>
      </w:r>
    </w:p>
    <w:p w:rsidR="00FD5D06" w:rsidRPr="00FD5D06" w:rsidRDefault="00FD5D06" w:rsidP="00FD5D06">
      <w:r w:rsidRPr="00FD5D06">
        <w:t>Il se présente sous la forme suivante :</w:t>
      </w:r>
    </w:p>
    <w:p w:rsidR="00FD5D06" w:rsidRPr="00FD5D06" w:rsidRDefault="00695762" w:rsidP="00FD5D06">
      <w:pPr>
        <w:keepNext/>
      </w:pPr>
      <w:r>
        <w:rPr>
          <w:noProof/>
        </w:rPr>
        <w:drawing>
          <wp:inline distT="0" distB="0" distL="0" distR="0">
            <wp:extent cx="4971429" cy="4638096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ulaire_Béto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429" cy="46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D06" w:rsidRPr="00FD5D06" w:rsidRDefault="00FD5D06" w:rsidP="00FD5D06">
      <w:pPr>
        <w:autoSpaceDE w:val="0"/>
        <w:autoSpaceDN w:val="0"/>
        <w:adjustRightInd w:val="0"/>
        <w:spacing w:line="240" w:lineRule="auto"/>
        <w:rPr>
          <w:rFonts w:cs="Times New Roman"/>
          <w:b/>
          <w:bCs/>
          <w:color w:val="4F81BD" w:themeColor="accent1"/>
        </w:rPr>
      </w:pPr>
      <w:r w:rsidRPr="00FD5D06">
        <w:rPr>
          <w:rFonts w:cs="Times New Roman"/>
          <w:b/>
          <w:bCs/>
          <w:color w:val="4F81BD" w:themeColor="accent1"/>
        </w:rPr>
        <w:t xml:space="preserve">Figure </w:t>
      </w:r>
      <w:r w:rsidRPr="00FD5D06">
        <w:rPr>
          <w:rFonts w:cs="Times New Roman"/>
          <w:b/>
          <w:bCs/>
          <w:color w:val="4F81BD" w:themeColor="accent1"/>
        </w:rPr>
        <w:fldChar w:fldCharType="begin"/>
      </w:r>
      <w:r w:rsidRPr="00FD5D06">
        <w:rPr>
          <w:rFonts w:cs="Times New Roman"/>
          <w:b/>
          <w:bCs/>
          <w:color w:val="4F81BD" w:themeColor="accent1"/>
        </w:rPr>
        <w:instrText xml:space="preserve"> STYLEREF 1 \s </w:instrText>
      </w:r>
      <w:r w:rsidRPr="00FD5D06">
        <w:rPr>
          <w:rFonts w:cs="Times New Roman"/>
          <w:b/>
          <w:bCs/>
          <w:color w:val="4F81BD" w:themeColor="accent1"/>
        </w:rPr>
        <w:fldChar w:fldCharType="separate"/>
      </w:r>
      <w:r w:rsidRPr="00FD5D06">
        <w:rPr>
          <w:rFonts w:cs="Times New Roman"/>
          <w:b/>
          <w:bCs/>
          <w:noProof/>
          <w:color w:val="4F81BD" w:themeColor="accent1"/>
        </w:rPr>
        <w:t>4</w:t>
      </w:r>
      <w:r w:rsidRPr="00FD5D06">
        <w:rPr>
          <w:rFonts w:cs="Times New Roman"/>
          <w:b/>
          <w:bCs/>
          <w:noProof/>
          <w:color w:val="4F81BD" w:themeColor="accent1"/>
        </w:rPr>
        <w:fldChar w:fldCharType="end"/>
      </w:r>
      <w:r w:rsidRPr="00FD5D06">
        <w:rPr>
          <w:rFonts w:cs="Times New Roman"/>
          <w:b/>
          <w:bCs/>
          <w:color w:val="4F81BD" w:themeColor="accent1"/>
        </w:rPr>
        <w:noBreakHyphen/>
      </w:r>
      <w:r w:rsidRPr="00FD5D06">
        <w:rPr>
          <w:rFonts w:cs="Times New Roman"/>
          <w:b/>
          <w:bCs/>
          <w:color w:val="4F81BD" w:themeColor="accent1"/>
        </w:rPr>
        <w:fldChar w:fldCharType="begin"/>
      </w:r>
      <w:r w:rsidRPr="00FD5D06">
        <w:rPr>
          <w:rFonts w:cs="Times New Roman"/>
          <w:b/>
          <w:bCs/>
          <w:color w:val="4F81BD" w:themeColor="accent1"/>
        </w:rPr>
        <w:instrText xml:space="preserve"> SEQ Figure \* ARABIC \s 1 </w:instrText>
      </w:r>
      <w:r w:rsidRPr="00FD5D06">
        <w:rPr>
          <w:rFonts w:cs="Times New Roman"/>
          <w:b/>
          <w:bCs/>
          <w:color w:val="4F81BD" w:themeColor="accent1"/>
        </w:rPr>
        <w:fldChar w:fldCharType="separate"/>
      </w:r>
      <w:r w:rsidRPr="00FD5D06">
        <w:rPr>
          <w:rFonts w:cs="Times New Roman"/>
          <w:b/>
          <w:bCs/>
          <w:noProof/>
          <w:color w:val="4F81BD" w:themeColor="accent1"/>
        </w:rPr>
        <w:t>9</w:t>
      </w:r>
      <w:r w:rsidRPr="00FD5D06">
        <w:rPr>
          <w:rFonts w:cs="Times New Roman"/>
          <w:b/>
          <w:bCs/>
          <w:noProof/>
          <w:color w:val="4F81BD" w:themeColor="accent1"/>
        </w:rPr>
        <w:fldChar w:fldCharType="end"/>
      </w:r>
      <w:r w:rsidR="00695762">
        <w:rPr>
          <w:rFonts w:cs="Times New Roman"/>
          <w:b/>
          <w:bCs/>
          <w:color w:val="4F81BD" w:themeColor="accent1"/>
        </w:rPr>
        <w:t xml:space="preserve"> - Formulaire de renseignement du béton de </w:t>
      </w:r>
      <w:r w:rsidRPr="00FD5D06">
        <w:rPr>
          <w:rFonts w:cs="Times New Roman"/>
          <w:b/>
          <w:bCs/>
          <w:color w:val="4F81BD" w:themeColor="accent1"/>
        </w:rPr>
        <w:t>dallage</w:t>
      </w:r>
    </w:p>
    <w:p w:rsidR="00695762" w:rsidRPr="00695762" w:rsidRDefault="00695762" w:rsidP="00695762">
      <w:pPr>
        <w:rPr>
          <w:b/>
          <w:u w:val="single"/>
        </w:rPr>
      </w:pPr>
      <w:r w:rsidRPr="00695762">
        <w:rPr>
          <w:b/>
          <w:u w:val="single"/>
        </w:rPr>
        <w:t>Pour les calculs suivant le BAEL :</w:t>
      </w:r>
    </w:p>
    <w:p w:rsidR="00695762" w:rsidRPr="00695762" w:rsidRDefault="00695762" w:rsidP="00695762">
      <w:pPr>
        <w:numPr>
          <w:ilvl w:val="0"/>
          <w:numId w:val="5"/>
        </w:numPr>
      </w:pPr>
      <w:r w:rsidRPr="00695762">
        <w:t xml:space="preserve">Contrainte caractéristique du béton à la compression à 28 jours sur cylindre. Il doit être supérieur ou égal à 25 </w:t>
      </w:r>
      <w:proofErr w:type="spellStart"/>
      <w:r w:rsidRPr="00695762">
        <w:t>Mpa</w:t>
      </w:r>
      <w:proofErr w:type="spellEnd"/>
      <w:r w:rsidRPr="00695762">
        <w:t xml:space="preserve"> pour les dallages industriels.</w:t>
      </w:r>
    </w:p>
    <w:p w:rsidR="00695762" w:rsidRPr="00695762" w:rsidRDefault="00695762" w:rsidP="00695762">
      <w:pPr>
        <w:numPr>
          <w:ilvl w:val="0"/>
          <w:numId w:val="5"/>
        </w:numPr>
      </w:pPr>
      <w:r w:rsidRPr="00695762">
        <w:t xml:space="preserve">Coefficient sur le matériau </w:t>
      </w:r>
      <w:proofErr w:type="gramStart"/>
      <w:r w:rsidRPr="00695762">
        <w:t>:γ</w:t>
      </w:r>
      <w:proofErr w:type="gramEnd"/>
      <w:r w:rsidRPr="00695762">
        <w:t xml:space="preserve"> b = 1.5</w:t>
      </w:r>
    </w:p>
    <w:p w:rsidR="00695762" w:rsidRPr="00695762" w:rsidRDefault="00695762" w:rsidP="00695762">
      <w:pPr>
        <w:rPr>
          <w:b/>
        </w:rPr>
      </w:pPr>
      <w:r w:rsidRPr="00695762">
        <w:rPr>
          <w:b/>
          <w:u w:val="single"/>
        </w:rPr>
        <w:t>Pour les calculs suivant les Eurocodes :</w:t>
      </w:r>
      <w:r w:rsidRPr="00695762">
        <w:rPr>
          <w:b/>
        </w:rPr>
        <w:t xml:space="preserve"> </w:t>
      </w:r>
      <w:r w:rsidRPr="00695762">
        <w:t>(Pas pris en compte dans la version 1.0)</w:t>
      </w:r>
    </w:p>
    <w:p w:rsidR="00695762" w:rsidRPr="00695762" w:rsidRDefault="00695762" w:rsidP="00695762">
      <w:pPr>
        <w:numPr>
          <w:ilvl w:val="0"/>
          <w:numId w:val="5"/>
        </w:numPr>
      </w:pPr>
      <w:r w:rsidRPr="00695762">
        <w:t>Contrainte caractéristique du béton à la compression à 28 jours sur cylindre. Pour un béton de classe C25/30, il faudra indiquer 25.</w:t>
      </w:r>
    </w:p>
    <w:p w:rsidR="00695762" w:rsidRPr="00695762" w:rsidRDefault="00695762" w:rsidP="00695762">
      <w:pPr>
        <w:numPr>
          <w:ilvl w:val="0"/>
          <w:numId w:val="5"/>
        </w:numPr>
      </w:pPr>
      <w:r w:rsidRPr="00695762">
        <w:lastRenderedPageBreak/>
        <w:t xml:space="preserve">Coefficient sur le matériau γ b : sans objet. </w:t>
      </w:r>
    </w:p>
    <w:p w:rsidR="00695762" w:rsidRPr="00695762" w:rsidRDefault="00695762" w:rsidP="00695762">
      <w:pPr>
        <w:rPr>
          <w:b/>
          <w:u w:val="single"/>
        </w:rPr>
      </w:pPr>
      <w:r w:rsidRPr="00695762">
        <w:rPr>
          <w:b/>
          <w:u w:val="single"/>
        </w:rPr>
        <w:t>Dimension du granulat :</w:t>
      </w:r>
    </w:p>
    <w:p w:rsidR="00695762" w:rsidRPr="00695762" w:rsidRDefault="00695762" w:rsidP="00695762">
      <w:r w:rsidRPr="00695762">
        <w:t xml:space="preserve">Cette caractéristique permet de majorer la valeur du retrait linéaire en fonction de la dimension du plus gros granulat. L’article C.3.2.1.1 du DTU 13.3 partie 1 </w:t>
      </w:r>
      <w:r>
        <w:t xml:space="preserve">impose </w:t>
      </w:r>
      <w:r w:rsidRPr="00695762">
        <w:t>une majoration si le diamètre est plus petit que 25mm soit :</w:t>
      </w:r>
    </w:p>
    <w:p w:rsidR="00695762" w:rsidRDefault="00695762" w:rsidP="00695762">
      <w:r w:rsidRPr="00695762">
        <w:t xml:space="preserve">+7% si </w:t>
      </w:r>
      <w:proofErr w:type="spellStart"/>
      <w:r w:rsidRPr="00695762">
        <w:t>Dmax</w:t>
      </w:r>
      <w:proofErr w:type="spellEnd"/>
      <w:r w:rsidRPr="00695762">
        <w:t xml:space="preserve">=20mm ; +13% si </w:t>
      </w:r>
      <w:proofErr w:type="spellStart"/>
      <w:r w:rsidRPr="00695762">
        <w:t>Dmax</w:t>
      </w:r>
      <w:proofErr w:type="spellEnd"/>
      <w:r w:rsidRPr="00695762">
        <w:t xml:space="preserve">=15mm et +30% si </w:t>
      </w:r>
      <w:proofErr w:type="spellStart"/>
      <w:r w:rsidRPr="00695762">
        <w:t>Dmax</w:t>
      </w:r>
      <w:proofErr w:type="spellEnd"/>
      <w:r w:rsidRPr="00695762">
        <w:t xml:space="preserve">=10mm. Pour les valeurs intermédiaires, le logiciel interpole linéairement. Si la valeur </w:t>
      </w:r>
      <w:proofErr w:type="spellStart"/>
      <w:r w:rsidRPr="00695762">
        <w:t>Dmax</w:t>
      </w:r>
      <w:proofErr w:type="spellEnd"/>
      <w:r w:rsidRPr="00695762">
        <w:t xml:space="preserve"> passe en dessous de 10mm, la majoration reste de 30%.</w:t>
      </w:r>
    </w:p>
    <w:p w:rsidR="00695762" w:rsidRPr="00695762" w:rsidRDefault="00695762" w:rsidP="00695762">
      <w:r>
        <w:t xml:space="preserve">L’ordre de grandeur du retrait final est de 0,004m/m (0,4mm/m). </w:t>
      </w:r>
      <w:proofErr w:type="gramStart"/>
      <w:r>
        <w:t>si</w:t>
      </w:r>
      <w:proofErr w:type="gramEnd"/>
      <w:r>
        <w:t xml:space="preserve"> vous voulez conserver cette valeur, indiquer une dimension de granulat supérieure ou égale à 25mm.</w:t>
      </w:r>
    </w:p>
    <w:p w:rsidR="00FD5D06" w:rsidRPr="00FD5D06" w:rsidRDefault="00FD5D06" w:rsidP="00FD5D06">
      <w:pPr>
        <w:rPr>
          <w:rFonts w:cs="Times New Roman"/>
        </w:rPr>
      </w:pPr>
      <w:r w:rsidRPr="00FD5D06">
        <w:rPr>
          <w:noProof/>
        </w:rPr>
        <w:drawing>
          <wp:inline distT="0" distB="0" distL="0" distR="0" wp14:anchorId="1ACC3436" wp14:editId="26FBCBDE">
            <wp:extent cx="161925" cy="1619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5D06">
        <w:t> </w:t>
      </w:r>
      <w:proofErr w:type="gramStart"/>
      <w:r w:rsidRPr="00FD5D06">
        <w:rPr>
          <w:rFonts w:cs="Times New Roman"/>
        </w:rPr>
        <w:t>:  vous</w:t>
      </w:r>
      <w:proofErr w:type="gramEnd"/>
      <w:r w:rsidRPr="00FD5D06">
        <w:rPr>
          <w:rFonts w:cs="Times New Roman"/>
        </w:rPr>
        <w:t xml:space="preserve"> pouvez cliquer sur ce bouton pour faire afficher l’aide vis-à-vis de ce formulaire. </w:t>
      </w:r>
    </w:p>
    <w:p w:rsidR="00FD5D06" w:rsidRPr="00FD5D06" w:rsidRDefault="00FD5D06" w:rsidP="00FD5D06">
      <w:r w:rsidRPr="00FD5D06">
        <w:t>Le bouton « OK » valide les données renseignées et ferme le formulaire. L’appui sur la touche « Enter » du clavier produit le même effet.</w:t>
      </w:r>
    </w:p>
    <w:p w:rsidR="00FD5D06" w:rsidRPr="00FD5D06" w:rsidRDefault="00FD5D06" w:rsidP="00FD5D06">
      <w:r w:rsidRPr="00FD5D06">
        <w:t>Le bouton « Annuler » permet de quitter le formulaire sans valider les données renseignées. Ce bouton est équivalent à cliquer sur la croix rouge, en haut à droite du formulaire. L’appui sur la touche « </w:t>
      </w:r>
      <w:proofErr w:type="spellStart"/>
      <w:r w:rsidRPr="00FD5D06">
        <w:t>Echap</w:t>
      </w:r>
      <w:proofErr w:type="spellEnd"/>
      <w:r w:rsidRPr="00FD5D06">
        <w:t> » du clavier produit le même effet.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 w:rsidR="00B14982">
        <w:t xml:space="preserve"> </w:t>
      </w:r>
      <w:r w:rsidR="00BA2BBB">
        <w:t xml:space="preserve"> </w:t>
      </w:r>
      <w:r w:rsidR="000453DD">
        <w:t>31</w:t>
      </w:r>
      <w:proofErr w:type="gramEnd"/>
      <w:r w:rsidR="00DF07FF">
        <w:t xml:space="preserve"> </w:t>
      </w:r>
      <w:r w:rsidR="00695762">
        <w:t>aou</w:t>
      </w:r>
      <w:r w:rsidR="00DF07FF">
        <w:t>t</w:t>
      </w:r>
      <w:r w:rsidR="0089756C">
        <w:t xml:space="preserve"> 201</w:t>
      </w:r>
      <w:r w:rsidR="00C71266">
        <w:t>4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Bibliographie :</w:t>
      </w:r>
    </w:p>
    <w:p w:rsidR="0089756C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>DTU 13.3 – Dallage partie 1 Mars 2005 et addendum 2007</w:t>
      </w:r>
    </w:p>
    <w:p w:rsidR="0064609F" w:rsidRDefault="00DF07FF" w:rsidP="00D7782D">
      <w:pPr>
        <w:pStyle w:val="Paragraphedeliste"/>
        <w:numPr>
          <w:ilvl w:val="0"/>
          <w:numId w:val="1"/>
        </w:numPr>
        <w:spacing w:line="240" w:lineRule="auto"/>
      </w:pPr>
      <w:r>
        <w:t xml:space="preserve">Guide ADETS – Chapitre 6  </w:t>
      </w:r>
      <w:bookmarkStart w:id="0" w:name="_GoBack"/>
      <w:bookmarkEnd w:id="0"/>
      <w:r>
        <w:t>Dallage Edition 2007</w:t>
      </w:r>
    </w:p>
    <w:sectPr w:rsidR="0064609F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229CB"/>
    <w:multiLevelType w:val="hybridMultilevel"/>
    <w:tmpl w:val="F1169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4CC2"/>
    <w:multiLevelType w:val="hybridMultilevel"/>
    <w:tmpl w:val="5B345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F7D4D"/>
    <w:multiLevelType w:val="hybridMultilevel"/>
    <w:tmpl w:val="70561C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D7478"/>
    <w:multiLevelType w:val="hybridMultilevel"/>
    <w:tmpl w:val="0448A846"/>
    <w:lvl w:ilvl="0" w:tplc="E7BCDD82">
      <w:start w:val="8"/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0453DD"/>
    <w:rsid w:val="00090D16"/>
    <w:rsid w:val="00093CF0"/>
    <w:rsid w:val="00112006"/>
    <w:rsid w:val="00152E5B"/>
    <w:rsid w:val="001F5DB9"/>
    <w:rsid w:val="0020662B"/>
    <w:rsid w:val="00256748"/>
    <w:rsid w:val="002A1773"/>
    <w:rsid w:val="002A3FC4"/>
    <w:rsid w:val="002D6ABD"/>
    <w:rsid w:val="002F0BE2"/>
    <w:rsid w:val="00400B5D"/>
    <w:rsid w:val="004454E1"/>
    <w:rsid w:val="00457B9F"/>
    <w:rsid w:val="00523390"/>
    <w:rsid w:val="005621A4"/>
    <w:rsid w:val="005A4BAF"/>
    <w:rsid w:val="005A7189"/>
    <w:rsid w:val="00606B1F"/>
    <w:rsid w:val="0064609F"/>
    <w:rsid w:val="006537A8"/>
    <w:rsid w:val="00684433"/>
    <w:rsid w:val="00695762"/>
    <w:rsid w:val="006E76E2"/>
    <w:rsid w:val="0070207B"/>
    <w:rsid w:val="00723814"/>
    <w:rsid w:val="00740B0C"/>
    <w:rsid w:val="007979FA"/>
    <w:rsid w:val="007C5B65"/>
    <w:rsid w:val="008679B0"/>
    <w:rsid w:val="0089756C"/>
    <w:rsid w:val="008D21ED"/>
    <w:rsid w:val="00902D2C"/>
    <w:rsid w:val="009306D1"/>
    <w:rsid w:val="00946577"/>
    <w:rsid w:val="00996A57"/>
    <w:rsid w:val="009A7647"/>
    <w:rsid w:val="009C18D9"/>
    <w:rsid w:val="00A92B59"/>
    <w:rsid w:val="00B14982"/>
    <w:rsid w:val="00BA2BBB"/>
    <w:rsid w:val="00BB2E99"/>
    <w:rsid w:val="00BE392A"/>
    <w:rsid w:val="00C71266"/>
    <w:rsid w:val="00C86A6D"/>
    <w:rsid w:val="00CB612F"/>
    <w:rsid w:val="00CF7A2F"/>
    <w:rsid w:val="00D00137"/>
    <w:rsid w:val="00D447BA"/>
    <w:rsid w:val="00D7782D"/>
    <w:rsid w:val="00D8287A"/>
    <w:rsid w:val="00DC494E"/>
    <w:rsid w:val="00DC650D"/>
    <w:rsid w:val="00DF07FF"/>
    <w:rsid w:val="00E104CD"/>
    <w:rsid w:val="00E32643"/>
    <w:rsid w:val="00E341E3"/>
    <w:rsid w:val="00E90F9F"/>
    <w:rsid w:val="00FD5D06"/>
    <w:rsid w:val="00FD6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1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98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1275</TotalTime>
  <Pages>2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fux</dc:creator>
  <cp:lastModifiedBy>fux</cp:lastModifiedBy>
  <cp:revision>18</cp:revision>
  <dcterms:created xsi:type="dcterms:W3CDTF">2014-02-16T10:02:00Z</dcterms:created>
  <dcterms:modified xsi:type="dcterms:W3CDTF">2014-08-24T18:00:00Z</dcterms:modified>
</cp:coreProperties>
</file>