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1E3" w:rsidRPr="00E148B5" w:rsidRDefault="00E148B5" w:rsidP="00E341E3">
      <w:pPr>
        <w:spacing w:line="240" w:lineRule="auto"/>
        <w:rPr>
          <w:rFonts w:ascii="Arial" w:hAnsi="Arial" w:cs="Arial"/>
          <w:sz w:val="20"/>
          <w:szCs w:val="20"/>
        </w:rPr>
      </w:pPr>
      <w:r w:rsidRPr="00E148B5">
        <w:rPr>
          <w:rFonts w:ascii="Arial" w:hAnsi="Arial" w:cs="Arial"/>
          <w:sz w:val="20"/>
          <w:szCs w:val="20"/>
        </w:rPr>
        <w:t>Suivant la clause 7.2.9(3) du DAN, une façade est dominante si elle comporte une ouverture dont l’aire est au moins égale à deux fois l'aire des ouvertures et des fuites d'air dans les autres faces du bâtiment considéré</w:t>
      </w:r>
      <w:r>
        <w:rPr>
          <w:rFonts w:ascii="Arial" w:hAnsi="Arial" w:cs="Arial"/>
          <w:sz w:val="20"/>
          <w:szCs w:val="20"/>
        </w:rPr>
        <w:t>.</w:t>
      </w:r>
    </w:p>
    <w:sectPr w:rsidR="00E341E3" w:rsidRPr="00E148B5" w:rsidSect="000926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E341E3"/>
    <w:rsid w:val="0009262C"/>
    <w:rsid w:val="002A3FC4"/>
    <w:rsid w:val="009306D1"/>
    <w:rsid w:val="00E148B5"/>
    <w:rsid w:val="00E341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62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34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fux</dc:creator>
  <cp:keywords/>
  <dc:description/>
  <cp:lastModifiedBy>fux</cp:lastModifiedBy>
  <cp:revision>3</cp:revision>
  <dcterms:created xsi:type="dcterms:W3CDTF">2009-12-22T20:58:00Z</dcterms:created>
  <dcterms:modified xsi:type="dcterms:W3CDTF">2009-12-29T08:47:00Z</dcterms:modified>
</cp:coreProperties>
</file>