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064403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</w:rPr>
        <w:drawing>
          <wp:anchor distT="0" distB="0" distL="114300" distR="114300" simplePos="0" relativeHeight="251661312" behindDoc="0" locked="0" layoutInCell="1" allowOverlap="1">
            <wp:simplePos x="11144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762" cy="304762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yramid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1F2">
        <w:rPr>
          <w:b/>
          <w:sz w:val="40"/>
          <w:szCs w:val="40"/>
          <w:u w:val="single"/>
        </w:rPr>
        <w:t>C</w:t>
      </w:r>
      <w:r w:rsidR="00DB4E53">
        <w:rPr>
          <w:b/>
          <w:sz w:val="40"/>
          <w:szCs w:val="40"/>
          <w:u w:val="single"/>
        </w:rPr>
        <w:t>alage du modèle BT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064403">
        <w:t xml:space="preserve">Semelle Béton Armé sur pieux </w:t>
      </w:r>
      <w:proofErr w:type="gramStart"/>
      <w:r w:rsidR="00064403">
        <w:t>version  2.0</w:t>
      </w:r>
      <w:proofErr w:type="gramEnd"/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B4E53" w:rsidRDefault="00DB4E53" w:rsidP="00DB4E53">
      <w:r>
        <w:t>Dans le cas où vous choisissez la méthode BT en cochant l’option 1 ou l’option 3, un cadre supplémentaire apparait :</w:t>
      </w:r>
    </w:p>
    <w:p w:rsidR="00AF0B14" w:rsidRDefault="00AF0B14" w:rsidP="00DB4E53">
      <w:r>
        <w:rPr>
          <w:noProof/>
        </w:rPr>
        <w:drawing>
          <wp:anchor distT="0" distB="0" distL="114300" distR="114300" simplePos="0" relativeHeight="251663360" behindDoc="0" locked="0" layoutInCell="1" allowOverlap="1" wp14:anchorId="4CF2B17F" wp14:editId="159035CC">
            <wp:simplePos x="0" y="0"/>
            <wp:positionH relativeFrom="margin">
              <wp:align>left</wp:align>
            </wp:positionH>
            <wp:positionV relativeFrom="paragraph">
              <wp:posOffset>307975</wp:posOffset>
            </wp:positionV>
            <wp:extent cx="3634105" cy="1171575"/>
            <wp:effectExtent l="0" t="0" r="4445" b="9525"/>
            <wp:wrapTopAndBottom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frmModelisation_calageB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10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E53" w:rsidRDefault="00DB4E53" w:rsidP="00DB4E53"/>
    <w:p w:rsidR="00032B1D" w:rsidRDefault="00DB4E53" w:rsidP="00DB4E53">
      <w:r>
        <w:t>1 - le choix du confinement ou pas de l’espace béton situé immédiatement sous le poteau :</w:t>
      </w:r>
    </w:p>
    <w:p w:rsidR="00032B1D" w:rsidRDefault="00032B1D" w:rsidP="00032B1D">
      <w:pPr>
        <w:ind w:left="708"/>
      </w:pPr>
      <w:r>
        <w:t>La commission française de suivi de l’Eurocode considère que le nœud sous poteau peut être considéré comme confiné en raison de l’angle entre bielle (cf. FD P18-717 §6.5.4(5))</w:t>
      </w:r>
    </w:p>
    <w:p w:rsidR="00DB4E53" w:rsidRDefault="00032B1D" w:rsidP="00032B1D">
      <w:pPr>
        <w:ind w:left="708"/>
      </w:pPr>
      <w:r>
        <w:t>S</w:t>
      </w:r>
      <w:r w:rsidR="00DB4E53">
        <w:t>i des armatures le traversent, vous pouvez le considérer comme confiné ce qui augmentent la limite du taux de compression de 10%. Ce qui peut s’avérer intéressant si on se trouve en limite de valeur du taux de compression possible.</w:t>
      </w:r>
      <w:r>
        <w:t xml:space="preserve"> Toutefois, les armatures ne peuvent se limiter aux cadres d’effort tranchant. La Commission n’a pas validé ce point de vue (voir FD P18-717 §3.1.9). Toutefois, des étriers en plus des cadres peuvent valider le confinement sous réserve de bien traverser le nœud.</w:t>
      </w:r>
      <w:bookmarkStart w:id="0" w:name="_GoBack"/>
      <w:bookmarkEnd w:id="0"/>
    </w:p>
    <w:p w:rsidR="00DB4E53" w:rsidRDefault="00DB4E53" w:rsidP="00DB4E53">
      <w:r>
        <w:t xml:space="preserve">2 – le choix sur la formule de calcul de l’effort de traction dans la bielle comprimée. En effet, </w:t>
      </w:r>
      <w:r w:rsidR="000C4771">
        <w:t xml:space="preserve">le fascicule de documentation FD P18-717 </w:t>
      </w:r>
      <w:r>
        <w:t>indique une erreur dans la formule de l’équation 6.59 de l’EN1992-1-1 : 2004.</w:t>
      </w:r>
    </w:p>
    <w:p w:rsidR="00AF0B14" w:rsidRDefault="00AF0B14" w:rsidP="00DB4E53">
      <w:r>
        <w:rPr>
          <w:noProof/>
        </w:rPr>
        <w:drawing>
          <wp:anchor distT="0" distB="0" distL="114300" distR="114300" simplePos="0" relativeHeight="251665408" behindDoc="0" locked="0" layoutInCell="1" allowOverlap="1" wp14:anchorId="2B321C94" wp14:editId="3C7F2D9C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2228850" cy="2167255"/>
            <wp:effectExtent l="19050" t="19050" r="19050" b="23495"/>
            <wp:wrapTopAndBottom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frmModelisation_eq6.5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672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0D2" w:rsidRDefault="007470D2" w:rsidP="00DB4E53"/>
    <w:p w:rsidR="00DB4E53" w:rsidRDefault="00DB4E53" w:rsidP="00DB4E53">
      <w:r>
        <w:t>L’extrait ci-</w:t>
      </w:r>
      <w:r w:rsidR="007470D2">
        <w:t>dessus</w:t>
      </w:r>
      <w:r>
        <w:t xml:space="preserve"> est tiré de la position du groupe de suivi de l’application de l’Eurocode 2 – </w:t>
      </w:r>
      <w:proofErr w:type="spellStart"/>
      <w:r>
        <w:t>Draft</w:t>
      </w:r>
      <w:proofErr w:type="spellEnd"/>
      <w:r>
        <w:t xml:space="preserve"> 11 du 28 septembre 2012.</w:t>
      </w:r>
    </w:p>
    <w:p w:rsidR="00DB4E53" w:rsidRDefault="00DB4E53" w:rsidP="00DB4E53">
      <w:r>
        <w:t>Or, depuis septembre 2012, je n’ai vu aucune modification de l’article de l’Eurocode 2 introduisant cette équation.</w:t>
      </w:r>
    </w:p>
    <w:p w:rsidR="00DB4E53" w:rsidRDefault="00DB4E53" w:rsidP="00DB4E53">
      <w:r>
        <w:t>Ce qui signifie, que réglementairement, on se doit d’appliquer cette formule fausse !</w:t>
      </w:r>
    </w:p>
    <w:p w:rsidR="00DB4E53" w:rsidRDefault="00DB4E53" w:rsidP="00DB4E53">
      <w:r>
        <w:t>Aussi, pour éviter cette absurdité, vous avez la possibilité, en cochant la 2</w:t>
      </w:r>
      <w:r w:rsidRPr="001C38EB">
        <w:rPr>
          <w:vertAlign w:val="superscript"/>
        </w:rPr>
        <w:t>ième</w:t>
      </w:r>
      <w:r>
        <w:t xml:space="preserve"> option, de passer par l’équation corrigée.</w:t>
      </w:r>
    </w:p>
    <w:p w:rsidR="00DB4E53" w:rsidRPr="00334882" w:rsidRDefault="00DB4E53" w:rsidP="00DB4E53">
      <w:r>
        <w:t xml:space="preserve">Enfin, comme l’évolution de l’Eurocode 2 est déjà parue, la formule 6.59 disparait et est remplacée par la formule de l’équation 6.58, </w:t>
      </w:r>
      <w:proofErr w:type="spellStart"/>
      <w:r>
        <w:t>quelque</w:t>
      </w:r>
      <w:proofErr w:type="spellEnd"/>
      <w:r>
        <w:t xml:space="preserve"> soit les considérations géométriques. Vous pouvez donc anticiper si vous le souhaitez.</w:t>
      </w:r>
    </w:p>
    <w:p w:rsidR="00D7782D" w:rsidRDefault="00D7782D" w:rsidP="00EB09E7">
      <w:pPr>
        <w:spacing w:line="240" w:lineRule="auto"/>
      </w:pPr>
      <w:r w:rsidRPr="00EB09E7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0631F2">
        <w:t xml:space="preserve">14 juillet </w:t>
      </w:r>
      <w:r w:rsidR="005365FC">
        <w:t>202</w:t>
      </w:r>
      <w:r w:rsidR="005D349A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EB09E7" w:rsidRDefault="00025571" w:rsidP="005D349A">
      <w:pPr>
        <w:pStyle w:val="Paragraphedeliste"/>
        <w:numPr>
          <w:ilvl w:val="0"/>
          <w:numId w:val="1"/>
        </w:numPr>
        <w:spacing w:line="240" w:lineRule="auto"/>
      </w:pPr>
      <w:r>
        <w:t>EN 1992-1-1 :2005</w:t>
      </w:r>
      <w:r w:rsidR="00EB09E7">
        <w:t xml:space="preserve"> AC2008 et AC2010 + Annexe nationale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Les Recommandations Professionnelles de mars 2007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Guide pour l’application de l’Eurocode 2 – Partie 1-1 – Guide EGF-BTP et UMGO-FFB – rédigé par Mr Thonier du 19/11/2011</w:t>
      </w:r>
    </w:p>
    <w:p w:rsidR="000631F2" w:rsidRDefault="000631F2" w:rsidP="000631F2">
      <w:pPr>
        <w:pStyle w:val="Paragraphedeliste"/>
        <w:numPr>
          <w:ilvl w:val="0"/>
          <w:numId w:val="1"/>
        </w:numPr>
        <w:jc w:val="both"/>
      </w:pPr>
      <w:r>
        <w:t>L’EN1997-1 et l’EN1997-2 et son document d’application NF P94262</w:t>
      </w:r>
    </w:p>
    <w:p w:rsidR="00F71118" w:rsidRDefault="000631F2" w:rsidP="000631F2">
      <w:pPr>
        <w:pStyle w:val="Paragraphedeliste"/>
        <w:numPr>
          <w:ilvl w:val="0"/>
          <w:numId w:val="1"/>
        </w:numPr>
        <w:jc w:val="both"/>
      </w:pPr>
      <w:r>
        <w:t xml:space="preserve">Positions du groupe de suivi des EC2-1-1 – EC2-1-2 et EC2-3 et autres – </w:t>
      </w:r>
      <w:proofErr w:type="spellStart"/>
      <w:r>
        <w:t>Draft</w:t>
      </w:r>
      <w:proofErr w:type="spellEnd"/>
      <w:r>
        <w:t xml:space="preserve"> 11 du 28 septembre 2012</w:t>
      </w:r>
    </w:p>
    <w:sectPr w:rsidR="00F71118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4DC152F"/>
    <w:multiLevelType w:val="hybridMultilevel"/>
    <w:tmpl w:val="C250E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86FF4"/>
    <w:multiLevelType w:val="hybridMultilevel"/>
    <w:tmpl w:val="66565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C050D"/>
    <w:multiLevelType w:val="hybridMultilevel"/>
    <w:tmpl w:val="D9C621C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78D61D8"/>
    <w:multiLevelType w:val="hybridMultilevel"/>
    <w:tmpl w:val="CBFAE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B53F7"/>
    <w:multiLevelType w:val="hybridMultilevel"/>
    <w:tmpl w:val="FB14B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F5D68"/>
    <w:multiLevelType w:val="hybridMultilevel"/>
    <w:tmpl w:val="4A922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0129A"/>
    <w:multiLevelType w:val="hybridMultilevel"/>
    <w:tmpl w:val="8BC6B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05F1F"/>
    <w:rsid w:val="00025571"/>
    <w:rsid w:val="00032B1D"/>
    <w:rsid w:val="000631F2"/>
    <w:rsid w:val="00064403"/>
    <w:rsid w:val="00093CF0"/>
    <w:rsid w:val="000C4771"/>
    <w:rsid w:val="0016643A"/>
    <w:rsid w:val="0020662B"/>
    <w:rsid w:val="002415A5"/>
    <w:rsid w:val="00285019"/>
    <w:rsid w:val="002A3FC4"/>
    <w:rsid w:val="002F0BE2"/>
    <w:rsid w:val="005019B6"/>
    <w:rsid w:val="005365FC"/>
    <w:rsid w:val="005621A4"/>
    <w:rsid w:val="005A4BAF"/>
    <w:rsid w:val="005D349A"/>
    <w:rsid w:val="00606B1F"/>
    <w:rsid w:val="00675801"/>
    <w:rsid w:val="00684433"/>
    <w:rsid w:val="0070207B"/>
    <w:rsid w:val="00723814"/>
    <w:rsid w:val="00740B0C"/>
    <w:rsid w:val="007470D2"/>
    <w:rsid w:val="00773FFF"/>
    <w:rsid w:val="007E4335"/>
    <w:rsid w:val="007F62A6"/>
    <w:rsid w:val="008E3454"/>
    <w:rsid w:val="00902D2C"/>
    <w:rsid w:val="009306D1"/>
    <w:rsid w:val="00946577"/>
    <w:rsid w:val="0096305B"/>
    <w:rsid w:val="00A03469"/>
    <w:rsid w:val="00AA0DED"/>
    <w:rsid w:val="00AF0B14"/>
    <w:rsid w:val="00B14982"/>
    <w:rsid w:val="00BA2BBB"/>
    <w:rsid w:val="00BB2E99"/>
    <w:rsid w:val="00BE392A"/>
    <w:rsid w:val="00BE4DC7"/>
    <w:rsid w:val="00C007D4"/>
    <w:rsid w:val="00CB2066"/>
    <w:rsid w:val="00CF7A2F"/>
    <w:rsid w:val="00D447BA"/>
    <w:rsid w:val="00D47CED"/>
    <w:rsid w:val="00D7782D"/>
    <w:rsid w:val="00D8287A"/>
    <w:rsid w:val="00DB4E53"/>
    <w:rsid w:val="00E32643"/>
    <w:rsid w:val="00E341E3"/>
    <w:rsid w:val="00E37F00"/>
    <w:rsid w:val="00E90F9F"/>
    <w:rsid w:val="00EB09E7"/>
    <w:rsid w:val="00ED1818"/>
    <w:rsid w:val="00EE2A24"/>
    <w:rsid w:val="00F71118"/>
    <w:rsid w:val="00F833AE"/>
    <w:rsid w:val="00FF7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A338"/>
  <w15:docId w15:val="{7EB73155-3131-42B1-BFC3-2AB22BC5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Sansinterligne">
    <w:name w:val="No Spacing"/>
    <w:basedOn w:val="Normal"/>
    <w:link w:val="SansinterligneCar"/>
    <w:autoRedefine/>
    <w:uiPriority w:val="1"/>
    <w:qFormat/>
    <w:rsid w:val="00EB09E7"/>
    <w:pPr>
      <w:spacing w:after="0" w:line="240" w:lineRule="auto"/>
    </w:pPr>
    <w:rPr>
      <w:sz w:val="18"/>
      <w:szCs w:val="18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B09E7"/>
    <w:rPr>
      <w:sz w:val="18"/>
      <w:szCs w:val="18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5365FC"/>
    <w:pPr>
      <w:autoSpaceDE w:val="0"/>
      <w:autoSpaceDN w:val="0"/>
      <w:adjustRightInd w:val="0"/>
      <w:spacing w:line="240" w:lineRule="auto"/>
      <w:jc w:val="both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7</cp:revision>
  <dcterms:created xsi:type="dcterms:W3CDTF">2024-07-14T10:23:00Z</dcterms:created>
  <dcterms:modified xsi:type="dcterms:W3CDTF">2024-08-10T16:02:00Z</dcterms:modified>
</cp:coreProperties>
</file>