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B6" w:rsidRPr="005019B6" w:rsidRDefault="00FF7A74" w:rsidP="005019B6">
      <w:pPr>
        <w:autoSpaceDE w:val="0"/>
        <w:autoSpaceDN w:val="0"/>
        <w:adjustRightInd w:val="0"/>
        <w:spacing w:after="0" w:line="240" w:lineRule="auto"/>
        <w:jc w:val="center"/>
        <w:rPr>
          <w:rFonts w:ascii="MS Shell Dlg 2" w:hAnsi="MS Shell Dlg 2" w:cs="MS Shell Dlg 2"/>
          <w:sz w:val="40"/>
          <w:szCs w:val="40"/>
          <w:u w:val="single"/>
        </w:rPr>
      </w:pPr>
      <w:r>
        <w:rPr>
          <w:b/>
          <w:sz w:val="40"/>
          <w:szCs w:val="40"/>
          <w:u w:val="single"/>
        </w:rPr>
        <w:t xml:space="preserve">Eléments </w:t>
      </w:r>
      <w:r w:rsidR="005D349A">
        <w:rPr>
          <w:b/>
          <w:sz w:val="40"/>
          <w:szCs w:val="40"/>
          <w:u w:val="single"/>
        </w:rPr>
        <w:t>pour le</w:t>
      </w:r>
      <w:r>
        <w:rPr>
          <w:b/>
          <w:sz w:val="40"/>
          <w:szCs w:val="40"/>
          <w:u w:val="single"/>
        </w:rPr>
        <w:t xml:space="preserve"> calcul</w:t>
      </w:r>
      <w:r w:rsidR="005D349A">
        <w:rPr>
          <w:b/>
          <w:sz w:val="40"/>
          <w:szCs w:val="40"/>
          <w:u w:val="single"/>
        </w:rPr>
        <w:t xml:space="preserve"> d’enrobage – Classe structurale et compacité enrobage</w:t>
      </w:r>
    </w:p>
    <w:p w:rsidR="00684433" w:rsidRPr="005019B6" w:rsidRDefault="00684433" w:rsidP="00BA2BBB">
      <w:pPr>
        <w:autoSpaceDE w:val="0"/>
        <w:autoSpaceDN w:val="0"/>
        <w:adjustRightInd w:val="0"/>
        <w:spacing w:line="240" w:lineRule="auto"/>
        <w:jc w:val="center"/>
        <w:rPr>
          <w:b/>
          <w:sz w:val="52"/>
          <w:szCs w:val="52"/>
          <w:u w:val="single"/>
        </w:rPr>
      </w:pPr>
    </w:p>
    <w:p w:rsidR="00D7782D" w:rsidRDefault="00D7782D" w:rsidP="00E341E3">
      <w:pPr>
        <w:spacing w:line="240" w:lineRule="auto"/>
      </w:pPr>
      <w:r w:rsidRPr="00D7782D">
        <w:rPr>
          <w:u w:val="single"/>
        </w:rPr>
        <w:t>Version logicielle :</w:t>
      </w:r>
      <w:r w:rsidR="00BA2BBB">
        <w:t xml:space="preserve">    </w:t>
      </w:r>
      <w:r w:rsidR="00F833AE">
        <w:t>Calculette</w:t>
      </w:r>
      <w:r w:rsidR="00CB2066">
        <w:t xml:space="preserve"> Béton </w:t>
      </w:r>
      <w:proofErr w:type="gramStart"/>
      <w:r w:rsidR="00CB2066">
        <w:t>Armé  version</w:t>
      </w:r>
      <w:proofErr w:type="gramEnd"/>
      <w:r w:rsidR="00CB2066">
        <w:t xml:space="preserve">  </w:t>
      </w:r>
      <w:r w:rsidR="00675801">
        <w:t>4</w:t>
      </w:r>
      <w:r>
        <w:t>.0</w:t>
      </w:r>
    </w:p>
    <w:p w:rsidR="00D7782D" w:rsidRPr="00D7782D" w:rsidRDefault="00D7782D" w:rsidP="00E341E3">
      <w:pPr>
        <w:spacing w:line="240" w:lineRule="auto"/>
        <w:rPr>
          <w:u w:val="single"/>
        </w:rPr>
      </w:pPr>
      <w:r w:rsidRPr="00D7782D">
        <w:rPr>
          <w:u w:val="single"/>
        </w:rPr>
        <w:t>Commentaire :</w:t>
      </w:r>
    </w:p>
    <w:p w:rsidR="00F71118" w:rsidRDefault="00F71118" w:rsidP="00F71118">
      <w:pPr>
        <w:widowControl w:val="0"/>
      </w:pPr>
      <w:r>
        <w:t>Le logiciel propose deux possibilités :</w:t>
      </w:r>
    </w:p>
    <w:p w:rsidR="00F71118" w:rsidRDefault="00F71118" w:rsidP="00F71118">
      <w:pPr>
        <w:pStyle w:val="Paragraphedeliste"/>
        <w:widowControl w:val="0"/>
        <w:numPr>
          <w:ilvl w:val="0"/>
          <w:numId w:val="10"/>
        </w:numPr>
        <w:jc w:val="both"/>
      </w:pPr>
      <w:r>
        <w:t>Détermination automatique de l’enrobage par le logiciel. Pour cela, les données suivantes doivent être renseignées :</w:t>
      </w:r>
    </w:p>
    <w:p w:rsidR="00F71118" w:rsidRDefault="00F71118" w:rsidP="00F71118">
      <w:pPr>
        <w:pStyle w:val="Paragraphedeliste"/>
        <w:widowControl w:val="0"/>
        <w:numPr>
          <w:ilvl w:val="1"/>
          <w:numId w:val="10"/>
        </w:numPr>
        <w:jc w:val="both"/>
      </w:pPr>
      <w:r>
        <w:t>Classes d’exposition (XC, XF, etc. …).</w:t>
      </w:r>
    </w:p>
    <w:p w:rsidR="00F71118" w:rsidRDefault="00F71118" w:rsidP="00F71118">
      <w:pPr>
        <w:pStyle w:val="Paragraphedeliste"/>
        <w:widowControl w:val="0"/>
        <w:numPr>
          <w:ilvl w:val="1"/>
          <w:numId w:val="10"/>
        </w:numPr>
        <w:jc w:val="both"/>
      </w:pPr>
      <w:r>
        <w:t>Durée d’utilisation de la structure : 10 ans, 25 ans, 50 ans (= durée normale pour bâtiment courant), 100 ans (durée pour ouvrage monumental, pont, etc. …)</w:t>
      </w:r>
      <w:r w:rsidRPr="00563947">
        <w:t xml:space="preserve"> </w:t>
      </w:r>
      <w:r>
        <w:t>– Voir tableau 2.1 de l’EN 1990 art. 2.3</w:t>
      </w:r>
    </w:p>
    <w:p w:rsidR="00F71118" w:rsidRDefault="00F71118" w:rsidP="00F71118">
      <w:pPr>
        <w:pStyle w:val="Paragraphedeliste"/>
        <w:widowControl w:val="0"/>
        <w:numPr>
          <w:ilvl w:val="0"/>
          <w:numId w:val="10"/>
        </w:numPr>
        <w:jc w:val="both"/>
      </w:pPr>
      <w:r>
        <w:t>Entrer directement les valeurs de l’enrobage. Dans ce cas, les classes d’exposition ne sont pas renseignées. Option utile quand on veut faire un calcul comparatif.</w:t>
      </w:r>
    </w:p>
    <w:p w:rsidR="00F71118" w:rsidRDefault="00F71118" w:rsidP="00F71118">
      <w:pPr>
        <w:widowControl w:val="0"/>
      </w:pPr>
      <w:r>
        <w:t>Pour les classes d’exposition – quelques rappels pour les classes les plus courantes en bâtiment sinon voir AN clause 4.2:</w:t>
      </w:r>
    </w:p>
    <w:p w:rsidR="00F71118" w:rsidRDefault="00F71118" w:rsidP="00F71118">
      <w:pPr>
        <w:pStyle w:val="Paragraphedeliste"/>
        <w:widowControl w:val="0"/>
        <w:numPr>
          <w:ilvl w:val="0"/>
          <w:numId w:val="11"/>
        </w:numPr>
        <w:jc w:val="both"/>
      </w:pPr>
      <w:r>
        <w:t>XC1 pour toutes les parties de bâtiment à l’abri de la pluie, que la partie soit extérieure ou intérieure</w:t>
      </w:r>
    </w:p>
    <w:p w:rsidR="00F71118" w:rsidRDefault="00F71118" w:rsidP="00F71118">
      <w:pPr>
        <w:pStyle w:val="Paragraphedeliste"/>
        <w:widowControl w:val="0"/>
        <w:numPr>
          <w:ilvl w:val="0"/>
          <w:numId w:val="11"/>
        </w:numPr>
        <w:jc w:val="both"/>
      </w:pPr>
      <w:r>
        <w:t>XC2 : surfaces de béton soumises au contact au long terme avec l’eau, un grand nombre de fondations</w:t>
      </w:r>
    </w:p>
    <w:p w:rsidR="00F71118" w:rsidRDefault="00F71118" w:rsidP="00F71118">
      <w:pPr>
        <w:pStyle w:val="Paragraphedeliste"/>
        <w:widowControl w:val="0"/>
        <w:numPr>
          <w:ilvl w:val="0"/>
          <w:numId w:val="11"/>
        </w:numPr>
        <w:jc w:val="both"/>
      </w:pPr>
      <w:r>
        <w:t>XC3</w:t>
      </w:r>
      <w:r w:rsidRPr="00987C57">
        <w:t xml:space="preserve"> </w:t>
      </w:r>
      <w:r>
        <w:t>pour toutes les parties intérieures du bâtiment exposées à la condensation : buanderie, papèterie, piscine, etc….</w:t>
      </w:r>
    </w:p>
    <w:p w:rsidR="00F71118" w:rsidRDefault="00F71118" w:rsidP="00F71118">
      <w:pPr>
        <w:pStyle w:val="Paragraphedeliste"/>
        <w:widowControl w:val="0"/>
        <w:numPr>
          <w:ilvl w:val="0"/>
          <w:numId w:val="11"/>
        </w:numPr>
        <w:jc w:val="both"/>
      </w:pPr>
      <w:r>
        <w:t>XC4 pour toutes les parties de bâtiment exposées à la pluie (voile extérieur par exemple)</w:t>
      </w:r>
    </w:p>
    <w:p w:rsidR="00F71118" w:rsidRDefault="00F71118" w:rsidP="00F71118">
      <w:pPr>
        <w:pStyle w:val="Paragraphedeliste"/>
        <w:widowControl w:val="0"/>
        <w:numPr>
          <w:ilvl w:val="0"/>
          <w:numId w:val="11"/>
        </w:numPr>
        <w:jc w:val="both"/>
      </w:pPr>
      <w:r>
        <w:t>XS pour les bâtiments proches de la mer – Voir ANF clause 4.2(2) Notes</w:t>
      </w:r>
    </w:p>
    <w:p w:rsidR="00F71118" w:rsidRDefault="00F71118" w:rsidP="00F71118">
      <w:pPr>
        <w:pStyle w:val="Paragraphedeliste"/>
        <w:widowControl w:val="0"/>
        <w:numPr>
          <w:ilvl w:val="0"/>
          <w:numId w:val="11"/>
        </w:numPr>
        <w:jc w:val="both"/>
      </w:pPr>
      <w:r>
        <w:t>XF pour les expositions au gel (</w:t>
      </w:r>
      <w:proofErr w:type="spellStart"/>
      <w:r>
        <w:t>Freeze</w:t>
      </w:r>
      <w:proofErr w:type="spellEnd"/>
      <w:r>
        <w:t>) : le logiciel établit les correspondances suivantes (suivant ANF et cours Thonier) :</w:t>
      </w:r>
    </w:p>
    <w:p w:rsidR="00F71118" w:rsidRDefault="00F71118" w:rsidP="00F71118">
      <w:pPr>
        <w:pStyle w:val="Paragraphedeliste"/>
        <w:widowControl w:val="0"/>
        <w:numPr>
          <w:ilvl w:val="1"/>
          <w:numId w:val="11"/>
        </w:numPr>
        <w:jc w:val="both"/>
      </w:pPr>
      <w:r>
        <w:t>XF1 = XC4</w:t>
      </w:r>
    </w:p>
    <w:p w:rsidR="00F71118" w:rsidRDefault="00F71118" w:rsidP="00F71118">
      <w:pPr>
        <w:pStyle w:val="Paragraphedeliste"/>
        <w:widowControl w:val="0"/>
        <w:numPr>
          <w:ilvl w:val="1"/>
          <w:numId w:val="11"/>
        </w:numPr>
        <w:jc w:val="both"/>
      </w:pPr>
      <w:r>
        <w:t>XF2 = XD3</w:t>
      </w:r>
    </w:p>
    <w:p w:rsidR="00F71118" w:rsidRDefault="00F71118" w:rsidP="00F71118">
      <w:pPr>
        <w:pStyle w:val="Paragraphedeliste"/>
        <w:widowControl w:val="0"/>
        <w:numPr>
          <w:ilvl w:val="1"/>
          <w:numId w:val="11"/>
        </w:numPr>
        <w:jc w:val="both"/>
      </w:pPr>
      <w:r>
        <w:t>XF3 = XC4</w:t>
      </w:r>
    </w:p>
    <w:p w:rsidR="00F71118" w:rsidRDefault="00F71118" w:rsidP="00F71118">
      <w:pPr>
        <w:pStyle w:val="Paragraphedeliste"/>
        <w:widowControl w:val="0"/>
        <w:numPr>
          <w:ilvl w:val="1"/>
          <w:numId w:val="11"/>
        </w:numPr>
        <w:jc w:val="both"/>
      </w:pPr>
      <w:r>
        <w:t>XF4 = XD3</w:t>
      </w:r>
    </w:p>
    <w:p w:rsidR="00F71118" w:rsidRDefault="00F71118" w:rsidP="00F71118">
      <w:pPr>
        <w:pStyle w:val="Paragraphedeliste"/>
        <w:widowControl w:val="0"/>
        <w:numPr>
          <w:ilvl w:val="0"/>
          <w:numId w:val="11"/>
        </w:numPr>
        <w:jc w:val="both"/>
      </w:pPr>
      <w:r>
        <w:t>XA pour éléments de fondation sur sol agressif (voir rapport géotechnique), contact avec liquide agressif (porcherie pour contact avec lisier, …), bâtiment de catégorie E, etc. …Le logiciel établit les correspondances suivantes suivant le tableau 4.3 de l’ANF</w:t>
      </w:r>
    </w:p>
    <w:p w:rsidR="00F71118" w:rsidRDefault="00F71118" w:rsidP="00F71118">
      <w:pPr>
        <w:pStyle w:val="Paragraphedeliste"/>
        <w:widowControl w:val="0"/>
        <w:numPr>
          <w:ilvl w:val="1"/>
          <w:numId w:val="11"/>
        </w:numPr>
        <w:jc w:val="both"/>
      </w:pPr>
      <w:r>
        <w:t>XA1 = XD1</w:t>
      </w:r>
    </w:p>
    <w:p w:rsidR="00F71118" w:rsidRDefault="00F71118" w:rsidP="00F71118">
      <w:pPr>
        <w:pStyle w:val="Paragraphedeliste"/>
        <w:widowControl w:val="0"/>
        <w:numPr>
          <w:ilvl w:val="1"/>
          <w:numId w:val="11"/>
        </w:numPr>
        <w:jc w:val="both"/>
      </w:pPr>
      <w:r>
        <w:t>XA2 = XD2</w:t>
      </w:r>
    </w:p>
    <w:p w:rsidR="00F71118" w:rsidRDefault="00F71118" w:rsidP="00F71118">
      <w:pPr>
        <w:pStyle w:val="Paragraphedeliste"/>
        <w:widowControl w:val="0"/>
        <w:numPr>
          <w:ilvl w:val="1"/>
          <w:numId w:val="11"/>
        </w:numPr>
        <w:jc w:val="both"/>
      </w:pPr>
      <w:r>
        <w:t>XA3 = XD3</w:t>
      </w:r>
    </w:p>
    <w:p w:rsidR="00F71118" w:rsidRDefault="00F71118" w:rsidP="00F71118">
      <w:pPr>
        <w:pStyle w:val="Paragraphedeliste"/>
        <w:widowControl w:val="0"/>
        <w:numPr>
          <w:ilvl w:val="0"/>
          <w:numId w:val="11"/>
        </w:numPr>
        <w:jc w:val="both"/>
      </w:pPr>
      <w:r>
        <w:t>Voir EN1992-1-1 art.4.2 et clause 4.2 de l’ANF pour les autres classes d’exposition</w:t>
      </w:r>
    </w:p>
    <w:p w:rsidR="00F71118" w:rsidRDefault="00F71118" w:rsidP="00F71118">
      <w:pPr>
        <w:widowControl w:val="0"/>
      </w:pPr>
      <w:r>
        <w:t xml:space="preserve">Le logiciel vérifie la classe de résistance du béton utilisé avec celle requise suivant les conditions </w:t>
      </w:r>
      <w:r>
        <w:lastRenderedPageBreak/>
        <w:t>d’exposition : application de l’annexe E, rendues normative par l’ANF. Dans le cas où la résistance est insuffisante, un avertissement figure dans la note de calcul.</w:t>
      </w:r>
    </w:p>
    <w:p w:rsidR="00F71118" w:rsidRDefault="00F71118" w:rsidP="00F71118">
      <w:pPr>
        <w:widowControl w:val="0"/>
      </w:pPr>
      <w:r>
        <w:t xml:space="preserve">Pour la détermination de la classe d’exposition, il peut être fait appel à la brochure « Les classes d’exposition » éditée par le CERIB et téléchargeable gratuitement sur le site du même organisme. Cette brochure s’affichera sous format </w:t>
      </w:r>
      <w:proofErr w:type="spellStart"/>
      <w:r>
        <w:t>pdf</w:t>
      </w:r>
      <w:proofErr w:type="spellEnd"/>
      <w:r>
        <w:t>.</w:t>
      </w:r>
    </w:p>
    <w:p w:rsidR="00F71118" w:rsidRDefault="00F71118" w:rsidP="00F71118">
      <w:pPr>
        <w:widowControl w:val="0"/>
      </w:pPr>
      <w:r>
        <w:t>Le logiciel ne vérifie pas d’éventuelle incohérence entre les classes d’exposition.</w:t>
      </w:r>
    </w:p>
    <w:p w:rsidR="00F71118" w:rsidRDefault="00F71118" w:rsidP="00F71118">
      <w:pPr>
        <w:widowControl w:val="0"/>
      </w:pPr>
      <w:r>
        <w:rPr>
          <w:noProof/>
        </w:rPr>
        <w:drawing>
          <wp:anchor distT="0" distB="0" distL="114300" distR="114300" simplePos="0" relativeHeight="251659264" behindDoc="0" locked="0" layoutInCell="1" allowOverlap="1" wp14:anchorId="34ABC467" wp14:editId="3C9A60B6">
            <wp:simplePos x="0" y="0"/>
            <wp:positionH relativeFrom="column">
              <wp:posOffset>-4445</wp:posOffset>
            </wp:positionH>
            <wp:positionV relativeFrom="paragraph">
              <wp:posOffset>-2540</wp:posOffset>
            </wp:positionV>
            <wp:extent cx="3304762" cy="200000"/>
            <wp:effectExtent l="0" t="0" r="0" b="0"/>
            <wp:wrapSquare wrapText="bothSides"/>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frmModelisation_enrobagebetonProprete.png"/>
                    <pic:cNvPicPr/>
                  </pic:nvPicPr>
                  <pic:blipFill>
                    <a:blip r:embed="rId5">
                      <a:extLst>
                        <a:ext uri="{28A0092B-C50C-407E-A947-70E740481C1C}">
                          <a14:useLocalDpi xmlns:a14="http://schemas.microsoft.com/office/drawing/2010/main" val="0"/>
                        </a:ext>
                      </a:extLst>
                    </a:blip>
                    <a:stretch>
                      <a:fillRect/>
                    </a:stretch>
                  </pic:blipFill>
                  <pic:spPr>
                    <a:xfrm>
                      <a:off x="0" y="0"/>
                      <a:ext cx="3304762" cy="200000"/>
                    </a:xfrm>
                    <a:prstGeom prst="rect">
                      <a:avLst/>
                    </a:prstGeom>
                  </pic:spPr>
                </pic:pic>
              </a:graphicData>
            </a:graphic>
            <wp14:sizeRelH relativeFrom="page">
              <wp14:pctWidth>0</wp14:pctWidth>
            </wp14:sizeRelH>
            <wp14:sizeRelV relativeFrom="page">
              <wp14:pctHeight>0</wp14:pctHeight>
            </wp14:sizeRelV>
          </wp:anchor>
        </w:drawing>
      </w:r>
      <w:r>
        <w:t>Coche à activer si la semelle sur pieu est coulée sur un béton de propreté. Cela permet d’appliquer la clause 4.4.1.3(4) qui réduit l’enrobage minimum à 30mm au lieu de 65mm.</w:t>
      </w:r>
    </w:p>
    <w:p w:rsidR="00FF7A74" w:rsidRPr="005D349A" w:rsidRDefault="00F71118" w:rsidP="00F71118">
      <w:pPr>
        <w:widowControl w:val="0"/>
        <w:rPr>
          <w:u w:val="single"/>
        </w:rPr>
      </w:pPr>
      <w:r>
        <w:rPr>
          <w:noProof/>
        </w:rPr>
        <w:drawing>
          <wp:anchor distT="0" distB="0" distL="114300" distR="114300" simplePos="0" relativeHeight="251660288" behindDoc="0" locked="0" layoutInCell="1" allowOverlap="1" wp14:anchorId="097CEFED" wp14:editId="190D075B">
            <wp:simplePos x="0" y="0"/>
            <wp:positionH relativeFrom="column">
              <wp:posOffset>-4445</wp:posOffset>
            </wp:positionH>
            <wp:positionV relativeFrom="paragraph">
              <wp:posOffset>-4445</wp:posOffset>
            </wp:positionV>
            <wp:extent cx="2647619" cy="219048"/>
            <wp:effectExtent l="0" t="0" r="635" b="0"/>
            <wp:wrapSquare wrapText="bothSides"/>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frmModelisation_enrobagefacescoffrees.png"/>
                    <pic:cNvPicPr/>
                  </pic:nvPicPr>
                  <pic:blipFill>
                    <a:blip r:embed="rId6">
                      <a:extLst>
                        <a:ext uri="{28A0092B-C50C-407E-A947-70E740481C1C}">
                          <a14:useLocalDpi xmlns:a14="http://schemas.microsoft.com/office/drawing/2010/main" val="0"/>
                        </a:ext>
                      </a:extLst>
                    </a:blip>
                    <a:stretch>
                      <a:fillRect/>
                    </a:stretch>
                  </pic:blipFill>
                  <pic:spPr>
                    <a:xfrm>
                      <a:off x="0" y="0"/>
                      <a:ext cx="2647619" cy="219048"/>
                    </a:xfrm>
                    <a:prstGeom prst="rect">
                      <a:avLst/>
                    </a:prstGeom>
                  </pic:spPr>
                </pic:pic>
              </a:graphicData>
            </a:graphic>
            <wp14:sizeRelH relativeFrom="page">
              <wp14:pctWidth>0</wp14:pctWidth>
            </wp14:sizeRelH>
            <wp14:sizeRelV relativeFrom="page">
              <wp14:pctHeight>0</wp14:pctHeight>
            </wp14:sizeRelV>
          </wp:anchor>
        </w:drawing>
      </w:r>
      <w:r>
        <w:t>Coche à activer si les faces latérales de la semelle sur pieu sont coulées entre coffrages. Cela permet d’appliquer la clause 4.4.1.3(4) qui réduit l’enrobage minimum à 30mm au lieu de 65mm dans le cas d’un coulage du béton directement au contact du sol.</w:t>
      </w:r>
    </w:p>
    <w:p w:rsidR="00D7782D" w:rsidRDefault="00D7782D" w:rsidP="00EB09E7">
      <w:pPr>
        <w:spacing w:line="240" w:lineRule="auto"/>
      </w:pPr>
      <w:r w:rsidRPr="00EB09E7">
        <w:rPr>
          <w:u w:val="single"/>
        </w:rPr>
        <w:t>Dernière mise à jour :</w:t>
      </w:r>
      <w:r w:rsidR="00B14982">
        <w:t xml:space="preserve"> </w:t>
      </w:r>
      <w:r w:rsidR="00BA2BBB">
        <w:t xml:space="preserve"> </w:t>
      </w:r>
      <w:r w:rsidR="00AA0DED">
        <w:t xml:space="preserve"> </w:t>
      </w:r>
      <w:r w:rsidR="005D349A">
        <w:t>10 mars</w:t>
      </w:r>
      <w:r w:rsidR="005365FC">
        <w:t xml:space="preserve"> 202</w:t>
      </w:r>
      <w:r w:rsidR="005D349A">
        <w:t>4</w:t>
      </w:r>
    </w:p>
    <w:p w:rsidR="00D7782D" w:rsidRPr="00D7782D" w:rsidRDefault="00D7782D" w:rsidP="00E341E3">
      <w:pPr>
        <w:spacing w:line="240" w:lineRule="auto"/>
        <w:rPr>
          <w:u w:val="single"/>
        </w:rPr>
      </w:pPr>
      <w:r w:rsidRPr="00D7782D">
        <w:rPr>
          <w:u w:val="single"/>
        </w:rPr>
        <w:t>Bibliographie :</w:t>
      </w:r>
    </w:p>
    <w:p w:rsidR="00EB09E7" w:rsidRDefault="00025571" w:rsidP="005D349A">
      <w:pPr>
        <w:pStyle w:val="Paragraphedeliste"/>
        <w:numPr>
          <w:ilvl w:val="0"/>
          <w:numId w:val="1"/>
        </w:numPr>
        <w:spacing w:line="240" w:lineRule="auto"/>
      </w:pPr>
      <w:r>
        <w:t>EN 1992-1-1 :2005</w:t>
      </w:r>
      <w:r w:rsidR="00EB09E7">
        <w:t xml:space="preserve"> AC2008 et AC2010 + Annexe nationale</w:t>
      </w:r>
    </w:p>
    <w:p w:rsidR="00F71118" w:rsidRDefault="00F71118" w:rsidP="00F71118">
      <w:pPr>
        <w:pStyle w:val="Paragraphedeliste"/>
        <w:numPr>
          <w:ilvl w:val="0"/>
          <w:numId w:val="1"/>
        </w:numPr>
        <w:spacing w:line="240" w:lineRule="auto"/>
      </w:pPr>
      <w:r w:rsidRPr="00F71118">
        <w:t>Les Classes d'exposition CERIB FIB</w:t>
      </w:r>
      <w:r>
        <w:t xml:space="preserve"> – Dé</w:t>
      </w:r>
      <w:bookmarkStart w:id="0" w:name="_GoBack"/>
      <w:bookmarkEnd w:id="0"/>
      <w:r>
        <w:t>cembre 2009</w:t>
      </w:r>
    </w:p>
    <w:sectPr w:rsidR="00F71118"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FE2182E"/>
    <w:lvl w:ilvl="0">
      <w:numFmt w:val="bullet"/>
      <w:lvlText w:val="*"/>
      <w:lvlJc w:val="left"/>
    </w:lvl>
  </w:abstractNum>
  <w:abstractNum w:abstractNumId="1" w15:restartNumberingAfterBreak="0">
    <w:nsid w:val="04DC152F"/>
    <w:multiLevelType w:val="hybridMultilevel"/>
    <w:tmpl w:val="C250E8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786FF4"/>
    <w:multiLevelType w:val="hybridMultilevel"/>
    <w:tmpl w:val="665652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88426A"/>
    <w:multiLevelType w:val="hybridMultilevel"/>
    <w:tmpl w:val="2D6AA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4401CA"/>
    <w:multiLevelType w:val="hybridMultilevel"/>
    <w:tmpl w:val="836AEF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0C050D"/>
    <w:multiLevelType w:val="hybridMultilevel"/>
    <w:tmpl w:val="D9C621C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6C9B53F7"/>
    <w:multiLevelType w:val="hybridMultilevel"/>
    <w:tmpl w:val="FB14B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21F5D68"/>
    <w:multiLevelType w:val="hybridMultilevel"/>
    <w:tmpl w:val="4A922A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2B0129A"/>
    <w:multiLevelType w:val="hybridMultilevel"/>
    <w:tmpl w:val="8BC6B4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3C4492"/>
    <w:multiLevelType w:val="hybridMultilevel"/>
    <w:tmpl w:val="97C83A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lvlOverride w:ilvl="0">
      <w:lvl w:ilvl="0">
        <w:numFmt w:val="bullet"/>
        <w:lvlText w:val=""/>
        <w:legacy w:legacy="1" w:legacySpace="50" w:legacyIndent="0"/>
        <w:lvlJc w:val="left"/>
        <w:pPr>
          <w:ind w:left="300" w:firstLine="0"/>
        </w:pPr>
        <w:rPr>
          <w:rFonts w:ascii="Symbol" w:hAnsi="Symbol" w:hint="default"/>
        </w:rPr>
      </w:lvl>
    </w:lvlOverride>
  </w:num>
  <w:num w:numId="4">
    <w:abstractNumId w:val="4"/>
  </w:num>
  <w:num w:numId="5">
    <w:abstractNumId w:val="3"/>
  </w:num>
  <w:num w:numId="6">
    <w:abstractNumId w:val="6"/>
  </w:num>
  <w:num w:numId="7">
    <w:abstractNumId w:val="7"/>
  </w:num>
  <w:num w:numId="8">
    <w:abstractNumId w:val="1"/>
  </w:num>
  <w:num w:numId="9">
    <w:abstractNumId w:val="8"/>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E3"/>
    <w:rsid w:val="00005F1F"/>
    <w:rsid w:val="00025571"/>
    <w:rsid w:val="00093CF0"/>
    <w:rsid w:val="0016643A"/>
    <w:rsid w:val="0020662B"/>
    <w:rsid w:val="002415A5"/>
    <w:rsid w:val="00285019"/>
    <w:rsid w:val="002A3FC4"/>
    <w:rsid w:val="002F0BE2"/>
    <w:rsid w:val="005019B6"/>
    <w:rsid w:val="005365FC"/>
    <w:rsid w:val="005621A4"/>
    <w:rsid w:val="005A4BAF"/>
    <w:rsid w:val="005D349A"/>
    <w:rsid w:val="00606B1F"/>
    <w:rsid w:val="00675801"/>
    <w:rsid w:val="00684433"/>
    <w:rsid w:val="0070207B"/>
    <w:rsid w:val="00723814"/>
    <w:rsid w:val="00740B0C"/>
    <w:rsid w:val="00773FFF"/>
    <w:rsid w:val="007E4335"/>
    <w:rsid w:val="007F62A6"/>
    <w:rsid w:val="008E3454"/>
    <w:rsid w:val="00902D2C"/>
    <w:rsid w:val="009306D1"/>
    <w:rsid w:val="00946577"/>
    <w:rsid w:val="0096305B"/>
    <w:rsid w:val="00A03469"/>
    <w:rsid w:val="00AA0DED"/>
    <w:rsid w:val="00B14982"/>
    <w:rsid w:val="00BA2BBB"/>
    <w:rsid w:val="00BB2E99"/>
    <w:rsid w:val="00BE392A"/>
    <w:rsid w:val="00BE4DC7"/>
    <w:rsid w:val="00C007D4"/>
    <w:rsid w:val="00CB2066"/>
    <w:rsid w:val="00CF7A2F"/>
    <w:rsid w:val="00D447BA"/>
    <w:rsid w:val="00D7782D"/>
    <w:rsid w:val="00D8287A"/>
    <w:rsid w:val="00E32643"/>
    <w:rsid w:val="00E341E3"/>
    <w:rsid w:val="00E90F9F"/>
    <w:rsid w:val="00EB09E7"/>
    <w:rsid w:val="00ED1818"/>
    <w:rsid w:val="00EE2A24"/>
    <w:rsid w:val="00F71118"/>
    <w:rsid w:val="00F833AE"/>
    <w:rsid w:val="00FF7A7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223EF"/>
  <w15:docId w15:val="{7EB73155-3131-42B1-BFC3-2AB22BC51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paragraph" w:styleId="Sansinterligne">
    <w:name w:val="No Spacing"/>
    <w:basedOn w:val="Normal"/>
    <w:link w:val="SansinterligneCar"/>
    <w:autoRedefine/>
    <w:uiPriority w:val="1"/>
    <w:qFormat/>
    <w:rsid w:val="00EB09E7"/>
    <w:pPr>
      <w:spacing w:after="0" w:line="240" w:lineRule="auto"/>
    </w:pPr>
    <w:rPr>
      <w:sz w:val="18"/>
      <w:szCs w:val="18"/>
      <w:lang w:eastAsia="en-US"/>
    </w:rPr>
  </w:style>
  <w:style w:type="character" w:customStyle="1" w:styleId="SansinterligneCar">
    <w:name w:val="Sans interligne Car"/>
    <w:basedOn w:val="Policepardfaut"/>
    <w:link w:val="Sansinterligne"/>
    <w:uiPriority w:val="1"/>
    <w:rsid w:val="00EB09E7"/>
    <w:rPr>
      <w:sz w:val="18"/>
      <w:szCs w:val="18"/>
      <w:lang w:eastAsia="en-US"/>
    </w:rPr>
  </w:style>
  <w:style w:type="paragraph" w:styleId="Lgende">
    <w:name w:val="caption"/>
    <w:basedOn w:val="Normal"/>
    <w:next w:val="Normal"/>
    <w:uiPriority w:val="35"/>
    <w:unhideWhenUsed/>
    <w:qFormat/>
    <w:rsid w:val="005365FC"/>
    <w:pPr>
      <w:autoSpaceDE w:val="0"/>
      <w:autoSpaceDN w:val="0"/>
      <w:adjustRightInd w:val="0"/>
      <w:spacing w:line="240" w:lineRule="auto"/>
      <w:jc w:val="both"/>
    </w:pPr>
    <w:rPr>
      <w:rFonts w:ascii="Times New Roman" w:hAnsi="Times New Roman" w:cs="Times New Roman"/>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468</Words>
  <Characters>2575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p_dejean@orange.fr</cp:lastModifiedBy>
  <cp:revision>7</cp:revision>
  <dcterms:created xsi:type="dcterms:W3CDTF">2023-08-05T06:33:00Z</dcterms:created>
  <dcterms:modified xsi:type="dcterms:W3CDTF">2024-03-10T17:08:00Z</dcterms:modified>
</cp:coreProperties>
</file>