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2E58">
        <w:rPr>
          <w:rFonts w:ascii="MS Shell Dlg 2" w:hAnsi="MS Shell Dlg 2" w:cs="MS Shell Dlg 2"/>
          <w:sz w:val="40"/>
          <w:szCs w:val="40"/>
          <w:u w:val="single"/>
        </w:rPr>
        <w:t>Résistance de pointe pour micro</w:t>
      </w:r>
      <w:r w:rsidR="00FA423B">
        <w:rPr>
          <w:rFonts w:ascii="MS Shell Dlg 2" w:hAnsi="MS Shell Dlg 2" w:cs="MS Shell Dlg 2"/>
          <w:sz w:val="40"/>
          <w:szCs w:val="40"/>
          <w:u w:val="single"/>
        </w:rPr>
        <w:t>pieu</w:t>
      </w:r>
      <w:r w:rsidR="00F52E58">
        <w:rPr>
          <w:rFonts w:ascii="MS Shell Dlg 2" w:hAnsi="MS Shell Dlg 2" w:cs="MS Shell Dlg 2"/>
          <w:sz w:val="40"/>
          <w:szCs w:val="40"/>
          <w:u w:val="single"/>
        </w:rPr>
        <w:t>x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52E58" w:rsidRDefault="00F52E58" w:rsidP="00F52E58">
      <w:r>
        <w:t xml:space="preserve">Conformément aux commentaires de la norme NF P94-262, sur le choix du facteur de portance </w:t>
      </w:r>
      <w:proofErr w:type="spellStart"/>
      <w:r>
        <w:t>Kpmax</w:t>
      </w:r>
      <w:proofErr w:type="spellEnd"/>
      <w:r>
        <w:t xml:space="preserve"> (ou </w:t>
      </w:r>
      <w:proofErr w:type="spellStart"/>
      <w:r>
        <w:t>Kcmax</w:t>
      </w:r>
      <w:proofErr w:type="spellEnd"/>
      <w:r>
        <w:t xml:space="preserve"> pour les essais au pénétromètre statique), le logiciel n’évalue pas la résistance de pointe des micropieux soit les pieux de catégorie 17 à 20 suivant le tableaux A.1 de la NF P94-262 (</w:t>
      </w:r>
      <w:hyperlink w:anchor="TableauA1_P94262" w:history="1">
        <w:r w:rsidRPr="000A136A">
          <w:rPr>
            <w:rStyle w:val="Lienhypertexte"/>
          </w:rPr>
          <w:t>voir tabl</w:t>
        </w:r>
        <w:r w:rsidRPr="000A136A">
          <w:rPr>
            <w:rStyle w:val="Lienhypertexte"/>
          </w:rPr>
          <w:t>e</w:t>
        </w:r>
        <w:r w:rsidRPr="000A136A">
          <w:rPr>
            <w:rStyle w:val="Lienhypertexte"/>
          </w:rPr>
          <w:t>au ci-avant</w:t>
        </w:r>
      </w:hyperlink>
      <w:r>
        <w:t xml:space="preserve">). </w:t>
      </w:r>
    </w:p>
    <w:p w:rsidR="00F52E58" w:rsidRDefault="00F52E58" w:rsidP="00F52E58">
      <w:r>
        <w:rPr>
          <w:noProof/>
        </w:rPr>
        <w:drawing>
          <wp:anchor distT="0" distB="0" distL="114300" distR="114300" simplePos="0" relativeHeight="251660288" behindDoc="0" locked="0" layoutInCell="1" allowOverlap="1" wp14:anchorId="2ADBC1EC" wp14:editId="4BAB515A">
            <wp:simplePos x="0" y="0"/>
            <wp:positionH relativeFrom="column">
              <wp:posOffset>10129</wp:posOffset>
            </wp:positionH>
            <wp:positionV relativeFrom="paragraph">
              <wp:posOffset>77470</wp:posOffset>
            </wp:positionV>
            <wp:extent cx="2504762" cy="228571"/>
            <wp:effectExtent l="0" t="0" r="0" b="635"/>
            <wp:wrapSquare wrapText="bothSides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Micropieux_NonPriseEnCompteResistancedePoint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762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Toutefois, le logiciel offre la possibilité de prendre en compte la résistance de pointe des micropieux, en laissant la liberté au projeteur de cocher la case ci-contre.</w:t>
      </w:r>
    </w:p>
    <w:p w:rsidR="00FA423B" w:rsidRPr="00F41082" w:rsidRDefault="00F52E58" w:rsidP="00FA423B">
      <w:r>
        <w:t>Ainsi, si vous souhaitez forcer la prise en compte de la résistance de pointe, il vous faudra cocher cette case.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FA423B">
        <w:t>15 aout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6FE7"/>
    <w:multiLevelType w:val="hybridMultilevel"/>
    <w:tmpl w:val="5E729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  <w:rsid w:val="00F52E58"/>
    <w:rsid w:val="00FA4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D85F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rsid w:val="00F52E58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52E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15</cp:revision>
  <dcterms:created xsi:type="dcterms:W3CDTF">2020-01-02T08:36:00Z</dcterms:created>
  <dcterms:modified xsi:type="dcterms:W3CDTF">2025-08-22T06:39:00Z</dcterms:modified>
</cp:coreProperties>
</file>