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6E2FC9" w:rsidP="005019B6">
      <w:pPr>
        <w:autoSpaceDE w:val="0"/>
        <w:autoSpaceDN w:val="0"/>
        <w:adjustRightInd w:val="0"/>
        <w:spacing w:after="0" w:line="240" w:lineRule="auto"/>
        <w:jc w:val="center"/>
        <w:rPr>
          <w:rFonts w:ascii="MS Shell Dlg 2" w:hAnsi="MS Shell Dlg 2" w:cs="MS Shell Dlg 2"/>
          <w:sz w:val="40"/>
          <w:szCs w:val="40"/>
          <w:u w:val="single"/>
        </w:rPr>
      </w:pPr>
      <w:r w:rsidRPr="00C163E6">
        <w:rPr>
          <w:rFonts w:ascii="MS Shell Dlg 2" w:hAnsi="MS Shell Dlg 2" w:cs="MS Shell Dlg 2"/>
          <w:noProof/>
          <w:sz w:val="40"/>
          <w:szCs w:val="40"/>
          <w:u w:val="single"/>
        </w:rPr>
        <w:drawing>
          <wp:anchor distT="0" distB="0" distL="114300" distR="114300" simplePos="0" relativeHeight="251658240" behindDoc="0" locked="0" layoutInCell="1" allowOverlap="1" wp14:anchorId="771D5EE7" wp14:editId="3CCEB1C3">
            <wp:simplePos x="2181225" y="895350"/>
            <wp:positionH relativeFrom="margin">
              <wp:align>left</wp:align>
            </wp:positionH>
            <wp:positionV relativeFrom="margin">
              <wp:align>top</wp:align>
            </wp:positionV>
            <wp:extent cx="304800" cy="304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anchor>
        </w:drawing>
      </w:r>
      <w:r w:rsidR="00C163E6" w:rsidRPr="00C163E6">
        <w:rPr>
          <w:rFonts w:ascii="MS Shell Dlg 2" w:hAnsi="MS Shell Dlg 2" w:cs="MS Shell Dlg 2"/>
          <w:sz w:val="40"/>
          <w:szCs w:val="40"/>
          <w:u w:val="single"/>
        </w:rPr>
        <w:t xml:space="preserve"> </w:t>
      </w:r>
      <w:r w:rsidR="00013DBA">
        <w:rPr>
          <w:rFonts w:ascii="MS Shell Dlg 2" w:hAnsi="MS Shell Dlg 2" w:cs="MS Shell Dlg 2"/>
          <w:sz w:val="40"/>
          <w:szCs w:val="40"/>
          <w:u w:val="single"/>
        </w:rPr>
        <w:t>C</w:t>
      </w:r>
      <w:r w:rsidR="00C163E6" w:rsidRPr="00C163E6">
        <w:rPr>
          <w:rFonts w:ascii="MS Shell Dlg 2" w:hAnsi="MS Shell Dlg 2" w:cs="MS Shell Dlg 2"/>
          <w:sz w:val="40"/>
          <w:szCs w:val="40"/>
          <w:u w:val="single"/>
        </w:rPr>
        <w:t>atégorie</w:t>
      </w:r>
      <w:r w:rsidR="00C163E6">
        <w:rPr>
          <w:rFonts w:ascii="MS Shell Dlg 2" w:hAnsi="MS Shell Dlg 2" w:cs="MS Shell Dlg 2"/>
          <w:sz w:val="40"/>
          <w:szCs w:val="40"/>
          <w:u w:val="single"/>
        </w:rPr>
        <w:t xml:space="preserve"> </w:t>
      </w:r>
      <w:r w:rsidR="00013DBA">
        <w:rPr>
          <w:rFonts w:ascii="MS Shell Dlg 2" w:hAnsi="MS Shell Dlg 2" w:cs="MS Shell Dlg 2"/>
          <w:sz w:val="40"/>
          <w:szCs w:val="40"/>
          <w:u w:val="single"/>
        </w:rPr>
        <w:t>assimilée pour les</w:t>
      </w:r>
      <w:r w:rsidR="00EF1D5B">
        <w:rPr>
          <w:rFonts w:ascii="MS Shell Dlg 2" w:hAnsi="MS Shell Dlg 2" w:cs="MS Shell Dlg 2"/>
          <w:sz w:val="40"/>
          <w:szCs w:val="40"/>
          <w:u w:val="single"/>
        </w:rPr>
        <w:t xml:space="preserve"> pieux</w:t>
      </w:r>
      <w:r w:rsidR="00013DBA">
        <w:rPr>
          <w:rFonts w:ascii="MS Shell Dlg 2" w:hAnsi="MS Shell Dlg 2" w:cs="MS Shell Dlg 2"/>
          <w:sz w:val="40"/>
          <w:szCs w:val="40"/>
          <w:u w:val="single"/>
        </w:rPr>
        <w:t xml:space="preserve"> et micropieux de caté</w:t>
      </w:r>
      <w:bookmarkStart w:id="0" w:name="_GoBack"/>
      <w:bookmarkEnd w:id="0"/>
      <w:r w:rsidR="00013DBA">
        <w:rPr>
          <w:rFonts w:ascii="MS Shell Dlg 2" w:hAnsi="MS Shell Dlg 2" w:cs="MS Shell Dlg 2"/>
          <w:sz w:val="40"/>
          <w:szCs w:val="40"/>
          <w:u w:val="single"/>
        </w:rPr>
        <w:t>gorie 17 et 18 pour le calcul du frottement unitaire</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proofErr w:type="spellStart"/>
      <w:proofErr w:type="gramStart"/>
      <w:r w:rsidR="00C163E6">
        <w:t>MecaSol</w:t>
      </w:r>
      <w:proofErr w:type="spellEnd"/>
      <w:r w:rsidR="00C91564">
        <w:t xml:space="preserve">  version</w:t>
      </w:r>
      <w:proofErr w:type="gramEnd"/>
      <w:r w:rsidR="00C91564">
        <w:t xml:space="preserve">  </w:t>
      </w:r>
      <w:r w:rsidR="00C163E6">
        <w:t>1</w:t>
      </w:r>
      <w:r w:rsidR="00C91564">
        <w:t>.0</w:t>
      </w:r>
    </w:p>
    <w:p w:rsidR="00D7782D" w:rsidRPr="00D7782D" w:rsidRDefault="00D7782D" w:rsidP="00E341E3">
      <w:pPr>
        <w:spacing w:line="240" w:lineRule="auto"/>
        <w:rPr>
          <w:u w:val="single"/>
        </w:rPr>
      </w:pPr>
      <w:r w:rsidRPr="00D7782D">
        <w:rPr>
          <w:u w:val="single"/>
        </w:rPr>
        <w:t>Commentaire :</w:t>
      </w:r>
    </w:p>
    <w:p w:rsidR="00C163E6" w:rsidRDefault="00C163E6" w:rsidP="00C163E6">
      <w:r>
        <w:t xml:space="preserve">Les pieux </w:t>
      </w:r>
      <w:r w:rsidR="004370C7">
        <w:t>et micropieux des catégories 17 et 18 relèvent du</w:t>
      </w:r>
      <w:r>
        <w:t xml:space="preserve"> tableau A.1 de l’annexe A de la NF P94.262</w:t>
      </w:r>
    </w:p>
    <w:p w:rsidR="00C163E6" w:rsidRDefault="00C163E6" w:rsidP="00C163E6">
      <w:r>
        <w:rPr>
          <w:noProof/>
        </w:rPr>
        <w:drawing>
          <wp:inline distT="0" distB="0" distL="0" distR="0" wp14:anchorId="5D805A4F" wp14:editId="20156803">
            <wp:extent cx="5759267" cy="680483"/>
            <wp:effectExtent l="0" t="0" r="0" b="57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ableau A.1.png"/>
                    <pic:cNvPicPr/>
                  </pic:nvPicPr>
                  <pic:blipFill rotWithShape="1">
                    <a:blip r:embed="rId6">
                      <a:extLst>
                        <a:ext uri="{28A0092B-C50C-407E-A947-70E740481C1C}">
                          <a14:useLocalDpi xmlns:a14="http://schemas.microsoft.com/office/drawing/2010/main" val="0"/>
                        </a:ext>
                      </a:extLst>
                    </a:blip>
                    <a:srcRect t="80245" b="8848"/>
                    <a:stretch/>
                  </pic:blipFill>
                  <pic:spPr bwMode="auto">
                    <a:xfrm>
                      <a:off x="0" y="0"/>
                      <a:ext cx="5760720" cy="680655"/>
                    </a:xfrm>
                    <a:prstGeom prst="rect">
                      <a:avLst/>
                    </a:prstGeom>
                    <a:ln>
                      <a:noFill/>
                    </a:ln>
                    <a:extLst>
                      <a:ext uri="{53640926-AAD7-44D8-BBD7-CCE9431645EC}">
                        <a14:shadowObscured xmlns:a14="http://schemas.microsoft.com/office/drawing/2010/main"/>
                      </a:ext>
                    </a:extLst>
                  </pic:spPr>
                </pic:pic>
              </a:graphicData>
            </a:graphic>
          </wp:inline>
        </w:drawing>
      </w:r>
    </w:p>
    <w:p w:rsidR="004370C7" w:rsidRDefault="004370C7" w:rsidP="004370C7">
      <w:pPr>
        <w:spacing w:before="240"/>
      </w:pPr>
      <w:r>
        <w:t>Suivant la note (b) du tableau F.5.2.1 de l’annexe F, pour les pieux et micropieux de catégorie 17 et 18, il convient de considérer les valeurs de frottement axial unitaire des techniques de pieux ou micropieux les plus proches sur le plan de la technologie.</w:t>
      </w:r>
    </w:p>
    <w:p w:rsidR="004370C7" w:rsidRDefault="004370C7" w:rsidP="00C163E6">
      <w:r>
        <w:t>C’est la raison pour laquelle, le logiciel demande l’assimilation à une catégorie équivalente. Il n’est fait aucune vérification sur la catégorie désignée, cette désignation restant sous la responsabilité du projeteur.</w:t>
      </w:r>
    </w:p>
    <w:p w:rsidR="00D7782D" w:rsidRDefault="00D7782D" w:rsidP="00E341E3">
      <w:pPr>
        <w:spacing w:line="240" w:lineRule="auto"/>
      </w:pPr>
      <w:r w:rsidRPr="00D7782D">
        <w:rPr>
          <w:u w:val="single"/>
        </w:rPr>
        <w:t>Dernière mise à jour :</w:t>
      </w:r>
      <w:r w:rsidR="00B14982">
        <w:t xml:space="preserve"> </w:t>
      </w:r>
      <w:r w:rsidR="00BA2BBB">
        <w:t xml:space="preserve"> </w:t>
      </w:r>
      <w:r w:rsidR="00AA0DED">
        <w:t xml:space="preserve"> </w:t>
      </w:r>
      <w:r w:rsidR="00C163E6">
        <w:t xml:space="preserve">4 </w:t>
      </w:r>
      <w:r w:rsidR="004370C7">
        <w:t>mai</w:t>
      </w:r>
      <w:r w:rsidR="00C163E6">
        <w:t xml:space="preserve"> </w:t>
      </w:r>
      <w:r w:rsidR="00BD179B">
        <w:t>202</w:t>
      </w:r>
      <w:r w:rsidR="00C163E6">
        <w:t>5</w:t>
      </w:r>
    </w:p>
    <w:p w:rsidR="00D7782D" w:rsidRPr="00D7782D" w:rsidRDefault="00D7782D" w:rsidP="00E341E3">
      <w:pPr>
        <w:spacing w:line="240" w:lineRule="auto"/>
        <w:rPr>
          <w:u w:val="single"/>
        </w:rPr>
      </w:pPr>
      <w:r w:rsidRPr="00D7782D">
        <w:rPr>
          <w:u w:val="single"/>
        </w:rPr>
        <w:t>Bibliographie :</w:t>
      </w:r>
    </w:p>
    <w:p w:rsidR="00C163E6" w:rsidRDefault="00C163E6" w:rsidP="00C163E6">
      <w:pPr>
        <w:pStyle w:val="Paragraphedeliste"/>
        <w:numPr>
          <w:ilvl w:val="0"/>
          <w:numId w:val="1"/>
        </w:numPr>
        <w:spacing w:line="240" w:lineRule="auto"/>
      </w:pPr>
      <w:r>
        <w:t>NF EN 1997-1 juin 2005</w:t>
      </w:r>
      <w:r w:rsidRPr="00C163E6">
        <w:t xml:space="preserve"> et son Annexe Nationale Française de septembre 2006</w:t>
      </w:r>
    </w:p>
    <w:p w:rsidR="009B79DA" w:rsidRDefault="00C163E6" w:rsidP="00C163E6">
      <w:pPr>
        <w:pStyle w:val="Paragraphedeliste"/>
        <w:numPr>
          <w:ilvl w:val="0"/>
          <w:numId w:val="1"/>
        </w:numPr>
        <w:spacing w:line="240" w:lineRule="auto"/>
      </w:pPr>
      <w:r>
        <w:t>NF P94.262</w:t>
      </w:r>
      <w:r w:rsidRPr="00C163E6">
        <w:t xml:space="preserve"> juillet 2013 avec son amendement A1</w:t>
      </w:r>
    </w:p>
    <w:sectPr w:rsidR="009B79DA"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2974F3"/>
    <w:multiLevelType w:val="hybridMultilevel"/>
    <w:tmpl w:val="DA602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5B4A08"/>
    <w:multiLevelType w:val="hybridMultilevel"/>
    <w:tmpl w:val="26A4D4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4"/>
  </w:num>
  <w:num w:numId="5">
    <w:abstractNumId w:val="1"/>
  </w:num>
  <w:num w:numId="6">
    <w:abstractNumId w:val="3"/>
  </w:num>
  <w:num w:numId="7">
    <w:abstractNumId w:val="8"/>
  </w:num>
  <w:num w:numId="8">
    <w:abstractNumId w:val="9"/>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13DBA"/>
    <w:rsid w:val="00025571"/>
    <w:rsid w:val="00093CF0"/>
    <w:rsid w:val="000F205A"/>
    <w:rsid w:val="0016643A"/>
    <w:rsid w:val="0020662B"/>
    <w:rsid w:val="00285019"/>
    <w:rsid w:val="00296481"/>
    <w:rsid w:val="002A3FC4"/>
    <w:rsid w:val="002F0BE2"/>
    <w:rsid w:val="004370C7"/>
    <w:rsid w:val="005019B6"/>
    <w:rsid w:val="005621A4"/>
    <w:rsid w:val="005A4BAF"/>
    <w:rsid w:val="00606B1F"/>
    <w:rsid w:val="00684433"/>
    <w:rsid w:val="006E2FC9"/>
    <w:rsid w:val="0070207B"/>
    <w:rsid w:val="00723814"/>
    <w:rsid w:val="00740B0C"/>
    <w:rsid w:val="00773FFF"/>
    <w:rsid w:val="00780844"/>
    <w:rsid w:val="007E4335"/>
    <w:rsid w:val="008E3454"/>
    <w:rsid w:val="008F6CB7"/>
    <w:rsid w:val="00902D2C"/>
    <w:rsid w:val="009306D1"/>
    <w:rsid w:val="00932422"/>
    <w:rsid w:val="00946577"/>
    <w:rsid w:val="0096305B"/>
    <w:rsid w:val="009B79DA"/>
    <w:rsid w:val="00AA0DED"/>
    <w:rsid w:val="00AC4C8B"/>
    <w:rsid w:val="00B14982"/>
    <w:rsid w:val="00BA2BBB"/>
    <w:rsid w:val="00BB2E99"/>
    <w:rsid w:val="00BD179B"/>
    <w:rsid w:val="00BE392A"/>
    <w:rsid w:val="00C007D4"/>
    <w:rsid w:val="00C163E6"/>
    <w:rsid w:val="00C91564"/>
    <w:rsid w:val="00CB2066"/>
    <w:rsid w:val="00CF7A2F"/>
    <w:rsid w:val="00D447BA"/>
    <w:rsid w:val="00D7782D"/>
    <w:rsid w:val="00D8287A"/>
    <w:rsid w:val="00E32643"/>
    <w:rsid w:val="00E341E3"/>
    <w:rsid w:val="00E90F9F"/>
    <w:rsid w:val="00ED1818"/>
    <w:rsid w:val="00EE2A24"/>
    <w:rsid w:val="00EF1D5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0FE4"/>
  <w15:docId w15:val="{5A9ED1EB-C8A6-41D4-97E4-7B8CBE6A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142</Words>
  <Characters>787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11</cp:revision>
  <dcterms:created xsi:type="dcterms:W3CDTF">2020-01-02T08:36:00Z</dcterms:created>
  <dcterms:modified xsi:type="dcterms:W3CDTF">2025-05-04T08:18:00Z</dcterms:modified>
</cp:coreProperties>
</file>