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9B6" w:rsidRPr="005019B6" w:rsidRDefault="006E2FC9" w:rsidP="005019B6">
      <w:pPr>
        <w:autoSpaceDE w:val="0"/>
        <w:autoSpaceDN w:val="0"/>
        <w:adjustRightInd w:val="0"/>
        <w:spacing w:after="0" w:line="240" w:lineRule="auto"/>
        <w:jc w:val="center"/>
        <w:rPr>
          <w:rFonts w:ascii="MS Shell Dlg 2" w:hAnsi="MS Shell Dlg 2" w:cs="MS Shell Dlg 2"/>
          <w:sz w:val="40"/>
          <w:szCs w:val="40"/>
          <w:u w:val="single"/>
        </w:rPr>
      </w:pPr>
      <w:r w:rsidRPr="006E2FC9"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2181225" y="895350"/>
            <wp:positionH relativeFrom="margin">
              <wp:align>left</wp:align>
            </wp:positionH>
            <wp:positionV relativeFrom="margin">
              <wp:align>top</wp:align>
            </wp:positionV>
            <wp:extent cx="304800" cy="30480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F205A">
        <w:rPr>
          <w:rFonts w:ascii="MS Shell Dlg 2" w:hAnsi="MS Shell Dlg 2" w:cs="MS Shell Dlg 2"/>
          <w:sz w:val="40"/>
          <w:szCs w:val="40"/>
          <w:u w:val="single"/>
        </w:rPr>
        <w:t>Norme applicable pour l</w:t>
      </w:r>
      <w:r w:rsidR="00EF1D5B">
        <w:rPr>
          <w:rFonts w:ascii="MS Shell Dlg 2" w:hAnsi="MS Shell Dlg 2" w:cs="MS Shell Dlg 2"/>
          <w:sz w:val="40"/>
          <w:szCs w:val="40"/>
          <w:u w:val="single"/>
        </w:rPr>
        <w:t>’</w:t>
      </w:r>
      <w:r w:rsidR="000F205A">
        <w:rPr>
          <w:rFonts w:ascii="MS Shell Dlg 2" w:hAnsi="MS Shell Dlg 2" w:cs="MS Shell Dlg 2"/>
          <w:sz w:val="40"/>
          <w:szCs w:val="40"/>
          <w:u w:val="single"/>
        </w:rPr>
        <w:t>ex</w:t>
      </w:r>
      <w:r w:rsidR="00EF1D5B">
        <w:rPr>
          <w:rFonts w:ascii="MS Shell Dlg 2" w:hAnsi="MS Shell Dlg 2" w:cs="MS Shell Dlg 2"/>
          <w:sz w:val="40"/>
          <w:szCs w:val="40"/>
          <w:u w:val="single"/>
        </w:rPr>
        <w:t>écution des pieux</w:t>
      </w:r>
    </w:p>
    <w:p w:rsidR="00684433" w:rsidRPr="005019B6" w:rsidRDefault="0068443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</w:rPr>
      </w:pP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BA2BBB">
        <w:t xml:space="preserve">    </w:t>
      </w:r>
      <w:r w:rsidR="00C91564">
        <w:t>Semelle BA sur pieux EC</w:t>
      </w:r>
      <w:proofErr w:type="gramStart"/>
      <w:r w:rsidR="00C91564">
        <w:t>2  version</w:t>
      </w:r>
      <w:proofErr w:type="gramEnd"/>
      <w:r w:rsidR="00C91564">
        <w:t xml:space="preserve">  2.0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0F205A" w:rsidRPr="000F205A" w:rsidRDefault="000F205A" w:rsidP="000F205A">
      <w:pPr>
        <w:spacing w:line="240" w:lineRule="auto"/>
      </w:pPr>
      <w:r w:rsidRPr="000F205A">
        <w:t>Il s’agit de pieux en béton armé conforme aux disposition de la NF EN 1536 Pieux forés ou de la NF EN 12699 Pieux avec refoulement du sol.</w:t>
      </w:r>
    </w:p>
    <w:p w:rsidR="000F205A" w:rsidRPr="00296481" w:rsidRDefault="000F205A" w:rsidP="000F205A">
      <w:pPr>
        <w:spacing w:line="240" w:lineRule="auto"/>
        <w:rPr>
          <w:u w:val="single"/>
        </w:rPr>
      </w:pPr>
      <w:r w:rsidRPr="00296481">
        <w:rPr>
          <w:u w:val="single"/>
        </w:rPr>
        <w:t>Pour la NF EN 1536 :</w:t>
      </w:r>
    </w:p>
    <w:p w:rsidR="004A2F20" w:rsidRPr="000F205A" w:rsidRDefault="00296481" w:rsidP="000F205A">
      <w:pPr>
        <w:numPr>
          <w:ilvl w:val="0"/>
          <w:numId w:val="11"/>
        </w:numPr>
        <w:spacing w:line="240" w:lineRule="auto"/>
      </w:pPr>
      <w:r w:rsidRPr="000F205A">
        <w:t xml:space="preserve">Elle s’applique aux pieux de </w:t>
      </w:r>
      <w:r w:rsidRPr="000F205A">
        <w:t>section</w:t>
      </w:r>
      <w:r w:rsidRPr="000F205A">
        <w:t xml:space="preserve"> circulaire et aux barrettes de section rectangulaire, en T ou en L bétonnés en une seule opération.</w:t>
      </w:r>
    </w:p>
    <w:p w:rsidR="004A2F20" w:rsidRPr="000F205A" w:rsidRDefault="00296481" w:rsidP="000F205A">
      <w:pPr>
        <w:numPr>
          <w:ilvl w:val="0"/>
          <w:numId w:val="11"/>
        </w:numPr>
        <w:spacing w:line="240" w:lineRule="auto"/>
      </w:pPr>
      <w:r w:rsidRPr="000F205A">
        <w:t xml:space="preserve">Elle </w:t>
      </w:r>
      <w:r w:rsidRPr="000F205A">
        <w:t>concerne :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Les pieux forés ayant un rapport profondeur/largeur supérieur à 5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Les pieux ayant un diamètre compris entre 0,3 m et 3,0 m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Les barrettes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Les pieux et les barrettes à éléments structurels préfabriqués circulaire dont la plus petite dimension est supérieure à 0,3 m.</w:t>
      </w:r>
    </w:p>
    <w:p w:rsidR="004A2F20" w:rsidRPr="000F205A" w:rsidRDefault="00296481" w:rsidP="000F205A">
      <w:pPr>
        <w:numPr>
          <w:ilvl w:val="0"/>
          <w:numId w:val="11"/>
        </w:numPr>
        <w:spacing w:line="240" w:lineRule="auto"/>
      </w:pPr>
      <w:r w:rsidRPr="000F205A">
        <w:t>Elle couvre la réalisation : 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Des pieux forés isolées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Des groupes de pieux forés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Des parois réalisées avec des pieux sécants, contigus ou espacés.</w:t>
      </w:r>
    </w:p>
    <w:p w:rsidR="000F205A" w:rsidRPr="000F205A" w:rsidRDefault="00296481" w:rsidP="000F205A">
      <w:pPr>
        <w:numPr>
          <w:ilvl w:val="1"/>
          <w:numId w:val="11"/>
        </w:numPr>
        <w:spacing w:line="240" w:lineRule="auto"/>
      </w:pPr>
      <w:r w:rsidRPr="000F205A">
        <w:t xml:space="preserve">Les pieux peuvent être en </w:t>
      </w:r>
      <w:r w:rsidRPr="000F205A">
        <w:t>béton armé</w:t>
      </w:r>
      <w:r w:rsidRPr="000F205A">
        <w:t xml:space="preserve">, en béton non armé, en béton armé avec des </w:t>
      </w:r>
      <w:r w:rsidRPr="000F205A">
        <w:t>ar</w:t>
      </w:r>
      <w:r w:rsidRPr="000F205A">
        <w:t>matures</w:t>
      </w:r>
      <w:r w:rsidRPr="000F205A">
        <w:t xml:space="preserve"> spéciales (profilés ou tubes en acier) ou constitués d’éléments préfabriqués en béton.</w:t>
      </w:r>
    </w:p>
    <w:p w:rsidR="004A2F20" w:rsidRPr="000F205A" w:rsidRDefault="000F205A" w:rsidP="000F205A">
      <w:pPr>
        <w:spacing w:line="240" w:lineRule="auto"/>
      </w:pPr>
      <w:r w:rsidRPr="000F205A">
        <w:t>Les pieux réalisés à la tarière creuse dépendent de l’EN 1536.</w:t>
      </w:r>
    </w:p>
    <w:p w:rsidR="000F205A" w:rsidRPr="00296481" w:rsidRDefault="000F205A" w:rsidP="000F205A">
      <w:pPr>
        <w:spacing w:line="240" w:lineRule="auto"/>
        <w:rPr>
          <w:u w:val="single"/>
        </w:rPr>
      </w:pPr>
      <w:bookmarkStart w:id="0" w:name="_GoBack"/>
      <w:r w:rsidRPr="00296481">
        <w:rPr>
          <w:u w:val="single"/>
        </w:rPr>
        <w:t>Pour la NF EN 12699 :</w:t>
      </w:r>
    </w:p>
    <w:bookmarkEnd w:id="0"/>
    <w:p w:rsidR="004252EB" w:rsidRPr="000F205A" w:rsidRDefault="00296481" w:rsidP="000F205A">
      <w:pPr>
        <w:numPr>
          <w:ilvl w:val="0"/>
          <w:numId w:val="11"/>
        </w:numPr>
        <w:spacing w:line="240" w:lineRule="auto"/>
      </w:pPr>
      <w:r w:rsidRPr="000F205A">
        <w:t>Ces pieux sont mis en place dans le terrain sans forage ni excavation de sol. Ils sont foncés dans le terrain par battag</w:t>
      </w:r>
      <w:r w:rsidRPr="000F205A">
        <w:t>e, vibrage, vissage ou combinaison de ces méthodes. Ils peuvent être en acier, en béton, en bois, en coulis….</w:t>
      </w:r>
    </w:p>
    <w:p w:rsidR="004252EB" w:rsidRPr="000F205A" w:rsidRDefault="00296481" w:rsidP="000F205A">
      <w:pPr>
        <w:numPr>
          <w:ilvl w:val="0"/>
          <w:numId w:val="11"/>
        </w:numPr>
        <w:spacing w:line="240" w:lineRule="auto"/>
      </w:pPr>
      <w:r w:rsidRPr="000F205A">
        <w:t>La norme s’applique en particulier aux pieux préfabriqués en béton, aux pieux exécutés en place avec tubage temporaire ou permanent.</w:t>
      </w:r>
    </w:p>
    <w:p w:rsidR="004252EB" w:rsidRPr="000F205A" w:rsidRDefault="00296481" w:rsidP="000F205A">
      <w:pPr>
        <w:numPr>
          <w:ilvl w:val="0"/>
          <w:numId w:val="11"/>
        </w:numPr>
        <w:spacing w:line="240" w:lineRule="auto"/>
      </w:pPr>
      <w:r w:rsidRPr="000F205A">
        <w:t>Elle couvre :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Les pieux isolés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t>Les groupes de pieux</w:t>
      </w:r>
    </w:p>
    <w:p w:rsidR="000F205A" w:rsidRPr="000F205A" w:rsidRDefault="000F205A" w:rsidP="000F205A">
      <w:pPr>
        <w:numPr>
          <w:ilvl w:val="1"/>
          <w:numId w:val="11"/>
        </w:numPr>
        <w:spacing w:line="240" w:lineRule="auto"/>
      </w:pPr>
      <w:r w:rsidRPr="000F205A">
        <w:lastRenderedPageBreak/>
        <w:t>Les palplanches en béton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AA0DED">
        <w:t xml:space="preserve"> </w:t>
      </w:r>
      <w:r w:rsidR="006E2FC9">
        <w:t>1</w:t>
      </w:r>
      <w:r w:rsidR="000F205A">
        <w:t>6</w:t>
      </w:r>
      <w:r w:rsidR="00BD179B">
        <w:t xml:space="preserve"> </w:t>
      </w:r>
      <w:r w:rsidR="009B79DA">
        <w:t>aout</w:t>
      </w:r>
      <w:r w:rsidR="00BD179B">
        <w:t xml:space="preserve"> 202</w:t>
      </w:r>
      <w:r w:rsidR="00C91564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AA0DED" w:rsidRDefault="00025571" w:rsidP="00D7782D">
      <w:pPr>
        <w:pStyle w:val="Paragraphedeliste"/>
        <w:numPr>
          <w:ilvl w:val="0"/>
          <w:numId w:val="1"/>
        </w:numPr>
        <w:spacing w:line="240" w:lineRule="auto"/>
      </w:pPr>
      <w:r>
        <w:t>EN 1992-1-1 :2005</w:t>
      </w:r>
      <w:r w:rsidR="009B79DA">
        <w:t xml:space="preserve"> AC2008 AC2010 et Annexe Nationale 2015</w:t>
      </w:r>
    </w:p>
    <w:p w:rsidR="00780844" w:rsidRDefault="00780844" w:rsidP="00D7782D">
      <w:pPr>
        <w:pStyle w:val="Paragraphedeliste"/>
        <w:numPr>
          <w:ilvl w:val="0"/>
          <w:numId w:val="1"/>
        </w:numPr>
        <w:spacing w:line="240" w:lineRule="auto"/>
      </w:pPr>
      <w:r>
        <w:t>Cours Eurocode – Janvier 2008 - Mr THONIER</w:t>
      </w:r>
    </w:p>
    <w:p w:rsidR="009B79DA" w:rsidRDefault="009B79DA" w:rsidP="00D7782D">
      <w:pPr>
        <w:pStyle w:val="Paragraphedeliste"/>
        <w:numPr>
          <w:ilvl w:val="0"/>
          <w:numId w:val="1"/>
        </w:numPr>
        <w:spacing w:line="240" w:lineRule="auto"/>
      </w:pPr>
      <w:r>
        <w:t xml:space="preserve">Calcul des structures en béton – JM </w:t>
      </w:r>
      <w:proofErr w:type="gramStart"/>
      <w:r>
        <w:t>PAILLE  -</w:t>
      </w:r>
      <w:proofErr w:type="gramEnd"/>
      <w:r>
        <w:t xml:space="preserve">  Edition EYROLLES - 2</w:t>
      </w:r>
      <w:r w:rsidRPr="009B79DA">
        <w:rPr>
          <w:vertAlign w:val="superscript"/>
        </w:rPr>
        <w:t>ième</w:t>
      </w:r>
      <w:r>
        <w:t xml:space="preserve"> Edition</w:t>
      </w:r>
    </w:p>
    <w:sectPr w:rsidR="009B79DA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FE2182E"/>
    <w:lvl w:ilvl="0">
      <w:numFmt w:val="bullet"/>
      <w:lvlText w:val="*"/>
      <w:lvlJc w:val="left"/>
    </w:lvl>
  </w:abstractNum>
  <w:abstractNum w:abstractNumId="1" w15:restartNumberingAfterBreak="0">
    <w:nsid w:val="0D88426A"/>
    <w:multiLevelType w:val="hybridMultilevel"/>
    <w:tmpl w:val="2D6AA8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53190"/>
    <w:multiLevelType w:val="hybridMultilevel"/>
    <w:tmpl w:val="3CC83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463BF"/>
    <w:multiLevelType w:val="hybridMultilevel"/>
    <w:tmpl w:val="CC765C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01CA"/>
    <w:multiLevelType w:val="hybridMultilevel"/>
    <w:tmpl w:val="836AEF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974F3"/>
    <w:multiLevelType w:val="hybridMultilevel"/>
    <w:tmpl w:val="DA602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B4A08"/>
    <w:multiLevelType w:val="hybridMultilevel"/>
    <w:tmpl w:val="26A4D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B4B10"/>
    <w:multiLevelType w:val="hybridMultilevel"/>
    <w:tmpl w:val="BB3EE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4AFC"/>
    <w:multiLevelType w:val="hybridMultilevel"/>
    <w:tmpl w:val="D146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3C4492"/>
    <w:multiLevelType w:val="hybridMultilevel"/>
    <w:tmpl w:val="97C83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  <w:lvlOverride w:ilvl="0">
      <w:lvl w:ilvl="0">
        <w:numFmt w:val="bullet"/>
        <w:lvlText w:val=""/>
        <w:legacy w:legacy="1" w:legacySpace="50" w:legacyIndent="0"/>
        <w:lvlJc w:val="left"/>
        <w:pPr>
          <w:ind w:left="300" w:firstLine="0"/>
        </w:pPr>
        <w:rPr>
          <w:rFonts w:ascii="Symbol" w:hAnsi="Symbol" w:hint="default"/>
        </w:rPr>
      </w:lvl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E3"/>
    <w:rsid w:val="00025571"/>
    <w:rsid w:val="00093CF0"/>
    <w:rsid w:val="000F205A"/>
    <w:rsid w:val="0016643A"/>
    <w:rsid w:val="0020662B"/>
    <w:rsid w:val="00285019"/>
    <w:rsid w:val="00296481"/>
    <w:rsid w:val="002A3FC4"/>
    <w:rsid w:val="002F0BE2"/>
    <w:rsid w:val="005019B6"/>
    <w:rsid w:val="005621A4"/>
    <w:rsid w:val="005A4BAF"/>
    <w:rsid w:val="00606B1F"/>
    <w:rsid w:val="00684433"/>
    <w:rsid w:val="006E2FC9"/>
    <w:rsid w:val="0070207B"/>
    <w:rsid w:val="00723814"/>
    <w:rsid w:val="00740B0C"/>
    <w:rsid w:val="00773FFF"/>
    <w:rsid w:val="00780844"/>
    <w:rsid w:val="007E4335"/>
    <w:rsid w:val="008E3454"/>
    <w:rsid w:val="008F6CB7"/>
    <w:rsid w:val="00902D2C"/>
    <w:rsid w:val="009306D1"/>
    <w:rsid w:val="00946577"/>
    <w:rsid w:val="0096305B"/>
    <w:rsid w:val="009B79DA"/>
    <w:rsid w:val="00AA0DED"/>
    <w:rsid w:val="00AC4C8B"/>
    <w:rsid w:val="00B14982"/>
    <w:rsid w:val="00BA2BBB"/>
    <w:rsid w:val="00BB2E99"/>
    <w:rsid w:val="00BD179B"/>
    <w:rsid w:val="00BE392A"/>
    <w:rsid w:val="00C007D4"/>
    <w:rsid w:val="00C91564"/>
    <w:rsid w:val="00CB2066"/>
    <w:rsid w:val="00CF7A2F"/>
    <w:rsid w:val="00D447BA"/>
    <w:rsid w:val="00D7782D"/>
    <w:rsid w:val="00D8287A"/>
    <w:rsid w:val="00E32643"/>
    <w:rsid w:val="00E341E3"/>
    <w:rsid w:val="00E90F9F"/>
    <w:rsid w:val="00ED1818"/>
    <w:rsid w:val="00EE2A24"/>
    <w:rsid w:val="00E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5B5A"/>
  <w15:docId w15:val="{5A9ED1EB-C8A6-41D4-97E4-7B8CBE6A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8084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p_dejean@orange.fr</cp:lastModifiedBy>
  <cp:revision>8</cp:revision>
  <dcterms:created xsi:type="dcterms:W3CDTF">2020-01-02T08:36:00Z</dcterms:created>
  <dcterms:modified xsi:type="dcterms:W3CDTF">2024-08-16T17:31:00Z</dcterms:modified>
</cp:coreProperties>
</file>