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CF7A2F" w:rsidRDefault="0089756C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Pertes de charges communes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89756C" w:rsidRDefault="0089756C" w:rsidP="00E341E3">
      <w:pPr>
        <w:spacing w:line="240" w:lineRule="auto"/>
      </w:pPr>
      <w:r w:rsidRPr="0089756C">
        <w:t xml:space="preserve">Concernant des éléments communs </w:t>
      </w:r>
      <w:r>
        <w:t>à l’ensemble de la distribution comme le compteur, clapets, etc. …, les éléments suivants peuvent être retenus :</w:t>
      </w:r>
    </w:p>
    <w:p w:rsidR="0089756C" w:rsidRPr="00B60B4C" w:rsidRDefault="0089756C" w:rsidP="0089756C">
      <w:pPr>
        <w:jc w:val="both"/>
        <w:rPr>
          <w:rFonts w:ascii="Arial" w:hAnsi="Arial" w:cs="Arial"/>
          <w:lang w:val="en-GB"/>
        </w:rPr>
      </w:pPr>
      <w:r>
        <w:rPr>
          <w:noProof/>
        </w:rPr>
        <w:drawing>
          <wp:inline distT="0" distB="0" distL="0" distR="0">
            <wp:extent cx="3009900" cy="14192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56C" w:rsidRDefault="0089756C" w:rsidP="00E341E3">
      <w:pPr>
        <w:spacing w:line="240" w:lineRule="auto"/>
      </w:pPr>
      <w:r>
        <w:t xml:space="preserve">Pour mémoire, 1 bar = 10 </w:t>
      </w:r>
      <w:proofErr w:type="spellStart"/>
      <w:r>
        <w:t>mCE</w:t>
      </w:r>
      <w:proofErr w:type="spellEnd"/>
    </w:p>
    <w:p w:rsidR="00FD61D3" w:rsidRDefault="00FD61D3" w:rsidP="00E341E3">
      <w:pPr>
        <w:spacing w:line="240" w:lineRule="auto"/>
      </w:pPr>
      <w:r>
        <w:t>Valeurs tirées du guide ECS de l’AICVF 1991 :</w:t>
      </w:r>
    </w:p>
    <w:tbl>
      <w:tblPr>
        <w:tblStyle w:val="Grilledutableau"/>
        <w:tblW w:w="0" w:type="auto"/>
        <w:tblLook w:val="04A0"/>
      </w:tblPr>
      <w:tblGrid>
        <w:gridCol w:w="2660"/>
        <w:gridCol w:w="2977"/>
      </w:tblGrid>
      <w:tr w:rsidR="0089756C" w:rsidTr="004454E1">
        <w:tc>
          <w:tcPr>
            <w:tcW w:w="2660" w:type="dxa"/>
          </w:tcPr>
          <w:p w:rsidR="0089756C" w:rsidRPr="00FD61D3" w:rsidRDefault="0089756C" w:rsidP="00FD61D3">
            <w:pPr>
              <w:jc w:val="center"/>
              <w:rPr>
                <w:b/>
              </w:rPr>
            </w:pPr>
            <w:r w:rsidRPr="00FD61D3">
              <w:rPr>
                <w:b/>
              </w:rPr>
              <w:t>Appareils</w:t>
            </w:r>
          </w:p>
        </w:tc>
        <w:tc>
          <w:tcPr>
            <w:tcW w:w="2977" w:type="dxa"/>
          </w:tcPr>
          <w:p w:rsidR="0089756C" w:rsidRPr="00FD61D3" w:rsidRDefault="0089756C" w:rsidP="00FD61D3">
            <w:pPr>
              <w:jc w:val="center"/>
              <w:rPr>
                <w:b/>
              </w:rPr>
            </w:pPr>
            <w:r w:rsidRPr="00FD61D3">
              <w:rPr>
                <w:b/>
              </w:rPr>
              <w:t>Longueur équivalente (m)</w:t>
            </w:r>
          </w:p>
        </w:tc>
      </w:tr>
      <w:tr w:rsidR="0089756C" w:rsidTr="004454E1">
        <w:tc>
          <w:tcPr>
            <w:tcW w:w="2660" w:type="dxa"/>
          </w:tcPr>
          <w:p w:rsidR="0089756C" w:rsidRDefault="0089756C" w:rsidP="00E341E3">
            <w:r>
              <w:t>Compteur</w:t>
            </w:r>
          </w:p>
        </w:tc>
        <w:tc>
          <w:tcPr>
            <w:tcW w:w="2977" w:type="dxa"/>
          </w:tcPr>
          <w:p w:rsidR="0089756C" w:rsidRDefault="0089756C" w:rsidP="00E341E3">
            <w:r>
              <w:t>2 à 5</w:t>
            </w:r>
          </w:p>
        </w:tc>
      </w:tr>
      <w:tr w:rsidR="0089756C" w:rsidTr="004454E1">
        <w:tc>
          <w:tcPr>
            <w:tcW w:w="2660" w:type="dxa"/>
          </w:tcPr>
          <w:p w:rsidR="0089756C" w:rsidRDefault="0089756C" w:rsidP="00E341E3">
            <w:r>
              <w:t>Filtre</w:t>
            </w:r>
          </w:p>
        </w:tc>
        <w:tc>
          <w:tcPr>
            <w:tcW w:w="2977" w:type="dxa"/>
          </w:tcPr>
          <w:p w:rsidR="0089756C" w:rsidRDefault="0089756C" w:rsidP="00E341E3">
            <w:r>
              <w:t>3 à 10</w:t>
            </w:r>
          </w:p>
        </w:tc>
      </w:tr>
      <w:tr w:rsidR="0089756C" w:rsidTr="004454E1">
        <w:tc>
          <w:tcPr>
            <w:tcW w:w="2660" w:type="dxa"/>
          </w:tcPr>
          <w:p w:rsidR="0089756C" w:rsidRDefault="004454E1" w:rsidP="00E341E3">
            <w:r>
              <w:t>Mitigeur</w:t>
            </w:r>
          </w:p>
        </w:tc>
        <w:tc>
          <w:tcPr>
            <w:tcW w:w="2977" w:type="dxa"/>
          </w:tcPr>
          <w:p w:rsidR="0089756C" w:rsidRDefault="004454E1" w:rsidP="00E341E3">
            <w:r>
              <w:t># 3</w:t>
            </w:r>
          </w:p>
        </w:tc>
      </w:tr>
      <w:tr w:rsidR="0089756C" w:rsidTr="004454E1">
        <w:tc>
          <w:tcPr>
            <w:tcW w:w="2660" w:type="dxa"/>
          </w:tcPr>
          <w:p w:rsidR="0089756C" w:rsidRDefault="004454E1" w:rsidP="00E341E3">
            <w:r>
              <w:t>Robinet d’arrêt</w:t>
            </w:r>
          </w:p>
        </w:tc>
        <w:tc>
          <w:tcPr>
            <w:tcW w:w="2977" w:type="dxa"/>
          </w:tcPr>
          <w:p w:rsidR="0089756C" w:rsidRDefault="004454E1" w:rsidP="00E341E3">
            <w:r>
              <w:t># 1,5</w:t>
            </w:r>
          </w:p>
        </w:tc>
      </w:tr>
      <w:tr w:rsidR="0089756C" w:rsidTr="004454E1">
        <w:tc>
          <w:tcPr>
            <w:tcW w:w="2660" w:type="dxa"/>
          </w:tcPr>
          <w:p w:rsidR="0089756C" w:rsidRDefault="004454E1" w:rsidP="00E341E3">
            <w:r>
              <w:t>Ballon</w:t>
            </w:r>
          </w:p>
        </w:tc>
        <w:tc>
          <w:tcPr>
            <w:tcW w:w="2977" w:type="dxa"/>
          </w:tcPr>
          <w:p w:rsidR="0089756C" w:rsidRDefault="004454E1" w:rsidP="00E341E3">
            <w:r>
              <w:t># 3</w:t>
            </w:r>
          </w:p>
        </w:tc>
      </w:tr>
      <w:tr w:rsidR="0089756C" w:rsidTr="004454E1">
        <w:tc>
          <w:tcPr>
            <w:tcW w:w="2660" w:type="dxa"/>
          </w:tcPr>
          <w:p w:rsidR="0089756C" w:rsidRDefault="004454E1" w:rsidP="00E341E3">
            <w:r>
              <w:t>Coude court</w:t>
            </w:r>
          </w:p>
        </w:tc>
        <w:tc>
          <w:tcPr>
            <w:tcW w:w="2977" w:type="dxa"/>
          </w:tcPr>
          <w:p w:rsidR="0089756C" w:rsidRDefault="004454E1" w:rsidP="00E341E3">
            <w:r>
              <w:t># 2</w:t>
            </w:r>
          </w:p>
        </w:tc>
      </w:tr>
      <w:tr w:rsidR="0089756C" w:rsidTr="004454E1">
        <w:tc>
          <w:tcPr>
            <w:tcW w:w="2660" w:type="dxa"/>
          </w:tcPr>
          <w:p w:rsidR="0089756C" w:rsidRDefault="004454E1" w:rsidP="00E341E3">
            <w:r>
              <w:t>Coude allongé</w:t>
            </w:r>
          </w:p>
        </w:tc>
        <w:tc>
          <w:tcPr>
            <w:tcW w:w="2977" w:type="dxa"/>
          </w:tcPr>
          <w:p w:rsidR="0089756C" w:rsidRDefault="004454E1" w:rsidP="00E341E3">
            <w:r>
              <w:t># 1</w:t>
            </w:r>
          </w:p>
        </w:tc>
      </w:tr>
      <w:tr w:rsidR="004454E1" w:rsidTr="004454E1">
        <w:tc>
          <w:tcPr>
            <w:tcW w:w="2660" w:type="dxa"/>
          </w:tcPr>
          <w:p w:rsidR="004454E1" w:rsidRDefault="004454E1" w:rsidP="00E341E3">
            <w:r>
              <w:t>Té</w:t>
            </w:r>
          </w:p>
        </w:tc>
        <w:tc>
          <w:tcPr>
            <w:tcW w:w="2977" w:type="dxa"/>
          </w:tcPr>
          <w:p w:rsidR="004454E1" w:rsidRDefault="004454E1" w:rsidP="00E341E3">
            <w:r>
              <w:t># 3</w:t>
            </w:r>
          </w:p>
        </w:tc>
      </w:tr>
      <w:tr w:rsidR="004454E1" w:rsidTr="004454E1">
        <w:tc>
          <w:tcPr>
            <w:tcW w:w="2660" w:type="dxa"/>
          </w:tcPr>
          <w:p w:rsidR="004454E1" w:rsidRDefault="004454E1" w:rsidP="00E341E3">
            <w:proofErr w:type="spellStart"/>
            <w:r>
              <w:t>Disconnecteur</w:t>
            </w:r>
            <w:proofErr w:type="spellEnd"/>
          </w:p>
        </w:tc>
        <w:tc>
          <w:tcPr>
            <w:tcW w:w="2977" w:type="dxa"/>
          </w:tcPr>
          <w:p w:rsidR="004454E1" w:rsidRDefault="004454E1" w:rsidP="00E341E3">
            <w:r>
              <w:t>2 à 15</w:t>
            </w:r>
          </w:p>
        </w:tc>
      </w:tr>
    </w:tbl>
    <w:p w:rsidR="0089756C" w:rsidRDefault="0089756C" w:rsidP="00E341E3">
      <w:pPr>
        <w:spacing w:line="240" w:lineRule="auto"/>
      </w:pPr>
    </w:p>
    <w:p w:rsidR="00FD61D3" w:rsidRDefault="00FD61D3" w:rsidP="00E341E3">
      <w:pPr>
        <w:spacing w:line="240" w:lineRule="auto"/>
      </w:pPr>
      <w:r>
        <w:t xml:space="preserve">Valeurs tirées du guide technique CSTB Maitrise </w:t>
      </w:r>
      <w:proofErr w:type="spellStart"/>
      <w:r>
        <w:t>légionelle</w:t>
      </w:r>
      <w:proofErr w:type="spellEnd"/>
      <w:r>
        <w:t xml:space="preserve"> 2013 :</w:t>
      </w:r>
    </w:p>
    <w:tbl>
      <w:tblPr>
        <w:tblStyle w:val="Grilledutableau"/>
        <w:tblW w:w="0" w:type="auto"/>
        <w:tblLook w:val="04A0"/>
      </w:tblPr>
      <w:tblGrid>
        <w:gridCol w:w="5211"/>
        <w:gridCol w:w="1276"/>
      </w:tblGrid>
      <w:tr w:rsidR="00FD61D3" w:rsidTr="00FD61D3">
        <w:tc>
          <w:tcPr>
            <w:tcW w:w="5211" w:type="dxa"/>
          </w:tcPr>
          <w:p w:rsidR="00FD61D3" w:rsidRPr="00FD61D3" w:rsidRDefault="00FD61D3" w:rsidP="005E059B">
            <w:pPr>
              <w:jc w:val="center"/>
              <w:rPr>
                <w:b/>
              </w:rPr>
            </w:pPr>
            <w:r w:rsidRPr="00FD61D3">
              <w:rPr>
                <w:b/>
              </w:rPr>
              <w:t>Appareils</w:t>
            </w:r>
          </w:p>
        </w:tc>
        <w:tc>
          <w:tcPr>
            <w:tcW w:w="1276" w:type="dxa"/>
          </w:tcPr>
          <w:p w:rsidR="00FD61D3" w:rsidRPr="00FD61D3" w:rsidRDefault="00FD61D3" w:rsidP="005E059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mCE</w:t>
            </w:r>
            <w:proofErr w:type="spellEnd"/>
          </w:p>
        </w:tc>
      </w:tr>
      <w:tr w:rsidR="00FD61D3" w:rsidTr="00FD61D3">
        <w:tc>
          <w:tcPr>
            <w:tcW w:w="5211" w:type="dxa"/>
          </w:tcPr>
          <w:p w:rsidR="00FD61D3" w:rsidRDefault="00FD61D3" w:rsidP="005E059B">
            <w:r>
              <w:t>Ballon ou capacité</w:t>
            </w:r>
          </w:p>
        </w:tc>
        <w:tc>
          <w:tcPr>
            <w:tcW w:w="1276" w:type="dxa"/>
          </w:tcPr>
          <w:p w:rsidR="00FD61D3" w:rsidRDefault="00FD61D3" w:rsidP="005E059B">
            <w:r>
              <w:t>0,5</w:t>
            </w:r>
          </w:p>
        </w:tc>
      </w:tr>
      <w:tr w:rsidR="00FD61D3" w:rsidTr="00FD61D3">
        <w:tc>
          <w:tcPr>
            <w:tcW w:w="5211" w:type="dxa"/>
          </w:tcPr>
          <w:p w:rsidR="00FD61D3" w:rsidRDefault="00FD61D3" w:rsidP="005E059B">
            <w:r>
              <w:t xml:space="preserve">Clapet </w:t>
            </w:r>
            <w:proofErr w:type="spellStart"/>
            <w:r>
              <w:t>antiretour</w:t>
            </w:r>
            <w:proofErr w:type="spellEnd"/>
          </w:p>
        </w:tc>
        <w:tc>
          <w:tcPr>
            <w:tcW w:w="1276" w:type="dxa"/>
          </w:tcPr>
          <w:p w:rsidR="00FD61D3" w:rsidRDefault="00FD61D3" w:rsidP="005E059B">
            <w:r>
              <w:t>0,3</w:t>
            </w:r>
          </w:p>
        </w:tc>
      </w:tr>
      <w:tr w:rsidR="00FD61D3" w:rsidTr="00FD61D3">
        <w:tc>
          <w:tcPr>
            <w:tcW w:w="5211" w:type="dxa"/>
          </w:tcPr>
          <w:p w:rsidR="00FD61D3" w:rsidRDefault="00FD61D3" w:rsidP="005E059B">
            <w:r>
              <w:t>Echangeur instantané lors de faible période de puisage</w:t>
            </w:r>
          </w:p>
        </w:tc>
        <w:tc>
          <w:tcPr>
            <w:tcW w:w="1276" w:type="dxa"/>
          </w:tcPr>
          <w:p w:rsidR="00FD61D3" w:rsidRDefault="00FD61D3" w:rsidP="005E059B">
            <w:r>
              <w:t>2</w:t>
            </w:r>
          </w:p>
        </w:tc>
      </w:tr>
    </w:tbl>
    <w:p w:rsidR="00FD61D3" w:rsidRPr="0089756C" w:rsidRDefault="00FD61D3" w:rsidP="00E341E3">
      <w:pPr>
        <w:spacing w:line="240" w:lineRule="auto"/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89756C">
        <w:t>8</w:t>
      </w:r>
      <w:proofErr w:type="gramEnd"/>
      <w:r w:rsidR="0089756C">
        <w:t xml:space="preserve"> février 2013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89756C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Collection des guides de l’AICVF – Conception et calcul des installations ECS – </w:t>
      </w:r>
      <w:proofErr w:type="spellStart"/>
      <w:r>
        <w:t>Pyc</w:t>
      </w:r>
      <w:proofErr w:type="spellEnd"/>
      <w:r>
        <w:t xml:space="preserve"> Edition 1991</w:t>
      </w:r>
    </w:p>
    <w:p w:rsidR="0089756C" w:rsidRDefault="0089756C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Vade </w:t>
      </w:r>
      <w:proofErr w:type="spellStart"/>
      <w:r>
        <w:t>Mecum</w:t>
      </w:r>
      <w:proofErr w:type="spellEnd"/>
      <w:r>
        <w:t xml:space="preserve"> Chauffage sanitaire – </w:t>
      </w:r>
      <w:proofErr w:type="spellStart"/>
      <w:r>
        <w:t>Cardonnel</w:t>
      </w:r>
      <w:proofErr w:type="spellEnd"/>
      <w:r>
        <w:t xml:space="preserve"> </w:t>
      </w:r>
      <w:proofErr w:type="spellStart"/>
      <w:r>
        <w:t>Ingéniérie</w:t>
      </w:r>
      <w:proofErr w:type="spellEnd"/>
      <w:r>
        <w:t xml:space="preserve"> </w:t>
      </w:r>
      <w:r w:rsidR="00B47A97">
        <w:t>–</w:t>
      </w:r>
      <w:r>
        <w:t xml:space="preserve"> 2005</w:t>
      </w:r>
    </w:p>
    <w:p w:rsidR="00B47A97" w:rsidRDefault="00B47A97" w:rsidP="00B47A97">
      <w:pPr>
        <w:pStyle w:val="Paragraphedeliste"/>
        <w:numPr>
          <w:ilvl w:val="0"/>
          <w:numId w:val="1"/>
        </w:numPr>
        <w:spacing w:line="240" w:lineRule="auto"/>
      </w:pPr>
      <w:r>
        <w:t>Maitrise du risque de développement des legionelles dans les réseaux d’eau chaude sanitaire – Guide CSTB - 2013</w:t>
      </w:r>
    </w:p>
    <w:p w:rsidR="00B47A97" w:rsidRDefault="00B47A97" w:rsidP="00B47A97">
      <w:pPr>
        <w:pStyle w:val="Paragraphedeliste"/>
        <w:spacing w:line="240" w:lineRule="auto"/>
      </w:pPr>
    </w:p>
    <w:sectPr w:rsidR="00B47A9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093CF0"/>
    <w:rsid w:val="0020662B"/>
    <w:rsid w:val="002A3FC4"/>
    <w:rsid w:val="002F0BE2"/>
    <w:rsid w:val="0040172E"/>
    <w:rsid w:val="004454E1"/>
    <w:rsid w:val="00523390"/>
    <w:rsid w:val="005621A4"/>
    <w:rsid w:val="005A4BAF"/>
    <w:rsid w:val="00606B1F"/>
    <w:rsid w:val="00684433"/>
    <w:rsid w:val="0070207B"/>
    <w:rsid w:val="00723814"/>
    <w:rsid w:val="00740B0C"/>
    <w:rsid w:val="007979FA"/>
    <w:rsid w:val="007C5B65"/>
    <w:rsid w:val="0089756C"/>
    <w:rsid w:val="00902D2C"/>
    <w:rsid w:val="009306D1"/>
    <w:rsid w:val="00946577"/>
    <w:rsid w:val="00B14982"/>
    <w:rsid w:val="00B47A97"/>
    <w:rsid w:val="00BA2BBB"/>
    <w:rsid w:val="00BB2E99"/>
    <w:rsid w:val="00BE392A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7</cp:revision>
  <dcterms:created xsi:type="dcterms:W3CDTF">2013-03-16T08:06:00Z</dcterms:created>
  <dcterms:modified xsi:type="dcterms:W3CDTF">2014-02-16T10:05:00Z</dcterms:modified>
</cp:coreProperties>
</file>