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D7782D" w:rsidRDefault="006D3C27" w:rsidP="00D7782D">
      <w:pPr>
        <w:spacing w:line="240" w:lineRule="auto"/>
        <w:jc w:val="center"/>
        <w:rPr>
          <w:b/>
          <w:sz w:val="32"/>
          <w:szCs w:val="32"/>
          <w:u w:val="single"/>
        </w:rPr>
      </w:pPr>
      <w:r>
        <w:rPr>
          <w:b/>
          <w:sz w:val="32"/>
          <w:szCs w:val="32"/>
          <w:u w:val="single"/>
        </w:rPr>
        <w:t>Tuyauteries</w:t>
      </w:r>
    </w:p>
    <w:p w:rsidR="00D7782D" w:rsidRDefault="00D7782D" w:rsidP="00E341E3">
      <w:pPr>
        <w:spacing w:line="240" w:lineRule="auto"/>
      </w:pPr>
      <w:r w:rsidRPr="00D7782D">
        <w:rPr>
          <w:u w:val="single"/>
        </w:rPr>
        <w:t>Version logicielle :</w:t>
      </w:r>
      <w:r w:rsidR="00940C4A">
        <w:t xml:space="preserve">    Calculette</w:t>
      </w:r>
      <w:r>
        <w:t xml:space="preserve"> </w:t>
      </w:r>
      <w:r w:rsidR="00940C4A">
        <w:t>Plomberie version  1</w:t>
      </w:r>
      <w:r>
        <w:t>.0</w:t>
      </w:r>
    </w:p>
    <w:p w:rsidR="00D7782D" w:rsidRPr="00D7782D" w:rsidRDefault="00D7782D" w:rsidP="00E341E3">
      <w:pPr>
        <w:spacing w:line="240" w:lineRule="auto"/>
        <w:rPr>
          <w:u w:val="single"/>
        </w:rPr>
      </w:pPr>
      <w:r w:rsidRPr="00D7782D">
        <w:rPr>
          <w:u w:val="single"/>
        </w:rPr>
        <w:t>Commentaire :</w:t>
      </w:r>
    </w:p>
    <w:p w:rsidR="006D3C27" w:rsidRPr="006D3C27" w:rsidRDefault="006D3C27" w:rsidP="006D3C27">
      <w:pPr>
        <w:spacing w:line="240" w:lineRule="auto"/>
      </w:pPr>
      <w:r w:rsidRPr="006D3C27">
        <w:t>Le logiciel permet le calcul des tuyauteries de distribution des matières suivantes :</w:t>
      </w:r>
    </w:p>
    <w:p w:rsidR="006D3C27" w:rsidRPr="006D3C27" w:rsidRDefault="006D3C27" w:rsidP="006D3C27">
      <w:pPr>
        <w:numPr>
          <w:ilvl w:val="0"/>
          <w:numId w:val="2"/>
        </w:numPr>
        <w:spacing w:line="240" w:lineRule="auto"/>
      </w:pPr>
      <w:r w:rsidRPr="006D3C27">
        <w:t>Tubes en cuivre</w:t>
      </w:r>
    </w:p>
    <w:p w:rsidR="006D3C27" w:rsidRPr="006D3C27" w:rsidRDefault="006D3C27" w:rsidP="006D3C27">
      <w:pPr>
        <w:numPr>
          <w:ilvl w:val="0"/>
          <w:numId w:val="2"/>
        </w:numPr>
        <w:spacing w:line="240" w:lineRule="auto"/>
      </w:pPr>
      <w:r w:rsidRPr="006D3C27">
        <w:t>Tubes en acier galvanisé</w:t>
      </w:r>
    </w:p>
    <w:p w:rsidR="006D3C27" w:rsidRPr="006D3C27" w:rsidRDefault="006D3C27" w:rsidP="006D3C27">
      <w:pPr>
        <w:numPr>
          <w:ilvl w:val="0"/>
          <w:numId w:val="2"/>
        </w:numPr>
        <w:spacing w:line="240" w:lineRule="auto"/>
      </w:pPr>
      <w:r w:rsidRPr="006D3C27">
        <w:t>Tubes en PVC-C</w:t>
      </w:r>
    </w:p>
    <w:p w:rsidR="006D3C27" w:rsidRPr="006D3C27" w:rsidRDefault="006D3C27" w:rsidP="006D3C27">
      <w:pPr>
        <w:numPr>
          <w:ilvl w:val="0"/>
          <w:numId w:val="2"/>
        </w:numPr>
        <w:spacing w:line="240" w:lineRule="auto"/>
      </w:pPr>
      <w:r w:rsidRPr="006D3C27">
        <w:t>Tubes multicouches</w:t>
      </w:r>
    </w:p>
    <w:p w:rsidR="006D3C27" w:rsidRPr="006D3C27" w:rsidRDefault="006D3C27" w:rsidP="006D3C27">
      <w:pPr>
        <w:numPr>
          <w:ilvl w:val="0"/>
          <w:numId w:val="2"/>
        </w:numPr>
        <w:spacing w:line="240" w:lineRule="auto"/>
      </w:pPr>
      <w:r w:rsidRPr="006D3C27">
        <w:t>Tubes en PER</w:t>
      </w:r>
    </w:p>
    <w:p w:rsidR="006D3C27" w:rsidRPr="006D3C27" w:rsidRDefault="006D3C27" w:rsidP="006D3C27">
      <w:pPr>
        <w:spacing w:line="240" w:lineRule="auto"/>
      </w:pPr>
    </w:p>
    <w:p w:rsidR="006D3C27" w:rsidRPr="006D3C27" w:rsidRDefault="006D3C27" w:rsidP="006D3C27">
      <w:pPr>
        <w:spacing w:line="240" w:lineRule="auto"/>
        <w:rPr>
          <w:bCs/>
          <w:i/>
          <w:u w:val="single"/>
        </w:rPr>
      </w:pPr>
      <w:bookmarkStart w:id="0" w:name="_Toc503628748"/>
      <w:r w:rsidRPr="006D3C27">
        <w:rPr>
          <w:bCs/>
          <w:i/>
          <w:u w:val="single"/>
        </w:rPr>
        <w:t>Tuyauteries en Cuivre</w:t>
      </w:r>
      <w:bookmarkEnd w:id="0"/>
    </w:p>
    <w:p w:rsidR="006D3C27" w:rsidRPr="006D3C27" w:rsidRDefault="006D3C27" w:rsidP="006D3C27">
      <w:pPr>
        <w:spacing w:line="240" w:lineRule="auto"/>
      </w:pPr>
    </w:p>
    <w:p w:rsidR="006D3C27" w:rsidRPr="006D3C27" w:rsidRDefault="006D3C27" w:rsidP="006D3C27">
      <w:pPr>
        <w:spacing w:line="240" w:lineRule="auto"/>
      </w:pPr>
      <w:r w:rsidRPr="006D3C27">
        <w:t xml:space="preserve">Ces qualités de tubes sont spécifiées par la </w:t>
      </w:r>
      <w:r w:rsidRPr="006D3C27">
        <w:rPr>
          <w:iCs/>
        </w:rPr>
        <w:t>norme NF EN 1057 (indice de classement :</w:t>
      </w:r>
      <w:r w:rsidRPr="006D3C27">
        <w:t xml:space="preserve"> AFNOR NF A </w:t>
      </w:r>
      <w:r w:rsidRPr="006D3C27">
        <w:rPr>
          <w:i/>
          <w:iCs/>
        </w:rPr>
        <w:t>51-120</w:t>
      </w:r>
      <w:r w:rsidRPr="006D3C27">
        <w:rPr>
          <w:iCs/>
        </w:rPr>
        <w:t>)</w:t>
      </w:r>
      <w:r w:rsidRPr="006D3C27">
        <w:t xml:space="preserve">, à laquelle s'attache le droit d'usage de la marque NF “Tube </w:t>
      </w:r>
      <w:r w:rsidRPr="006D3C27">
        <w:rPr>
          <w:i/>
          <w:iCs/>
        </w:rPr>
        <w:t>Cuivre</w:t>
      </w:r>
      <w:r w:rsidRPr="006D3C27">
        <w:t xml:space="preserve">”. Les tubes de </w:t>
      </w:r>
      <w:r w:rsidRPr="006D3C27">
        <w:rPr>
          <w:i/>
          <w:iCs/>
        </w:rPr>
        <w:t>cuivre</w:t>
      </w:r>
      <w:r w:rsidRPr="006D3C27">
        <w:t xml:space="preserve"> qui bénéficient de cette marque donnent à chacun l'assurance d'une fabrication réalisée et contrôlée suivant les critères particuliers.</w:t>
      </w:r>
    </w:p>
    <w:p w:rsidR="006D3C27" w:rsidRPr="006D3C27" w:rsidRDefault="006D3C27" w:rsidP="006D3C27">
      <w:pPr>
        <w:spacing w:line="240" w:lineRule="auto"/>
      </w:pPr>
    </w:p>
    <w:p w:rsidR="006D3C27" w:rsidRPr="006D3C27" w:rsidRDefault="006D3C27" w:rsidP="006D3C27">
      <w:pPr>
        <w:spacing w:line="240" w:lineRule="auto"/>
      </w:pPr>
      <w:r w:rsidRPr="006D3C27">
        <w:t>La nomenclature autorisée est :</w:t>
      </w:r>
    </w:p>
    <w:p w:rsidR="006D3C27" w:rsidRPr="006D3C27" w:rsidRDefault="006D3C27" w:rsidP="006D3C27">
      <w:pPr>
        <w:spacing w:line="240" w:lineRule="auto"/>
      </w:pPr>
      <w:r w:rsidRPr="006D3C27">
        <w:t>"12x1", "14x1", "15x1", "16x1", "18x1", "20x1", "22x1", "25x1", "28x1", "32x1", "36x1", "42x1", "52x1", "54x1,5", "64x2", "76,1x2", "88,9x2", "108x2,5"</w:t>
      </w:r>
    </w:p>
    <w:p w:rsidR="006D3C27" w:rsidRPr="006D3C27" w:rsidRDefault="006D3C27" w:rsidP="006D3C27">
      <w:pPr>
        <w:spacing w:line="240" w:lineRule="auto"/>
      </w:pPr>
    </w:p>
    <w:p w:rsidR="006D3C27" w:rsidRPr="006D3C27" w:rsidRDefault="006D3C27" w:rsidP="006D3C27">
      <w:pPr>
        <w:spacing w:line="240" w:lineRule="auto"/>
      </w:pPr>
      <w:r w:rsidRPr="006D3C27">
        <w:t>Pour rappel :</w:t>
      </w:r>
    </w:p>
    <w:p w:rsidR="006D3C27" w:rsidRPr="006D3C27" w:rsidRDefault="006D3C27" w:rsidP="006D3C27">
      <w:pPr>
        <w:numPr>
          <w:ilvl w:val="0"/>
          <w:numId w:val="3"/>
        </w:numPr>
        <w:spacing w:line="240" w:lineRule="auto"/>
      </w:pPr>
      <w:r w:rsidRPr="006D3C27">
        <w:t>Le 1</w:t>
      </w:r>
      <w:r w:rsidRPr="006D3C27">
        <w:rPr>
          <w:vertAlign w:val="superscript"/>
        </w:rPr>
        <w:t>ier</w:t>
      </w:r>
      <w:r w:rsidRPr="006D3C27">
        <w:t xml:space="preserve"> chiffre est le diamètre extérieur.</w:t>
      </w:r>
    </w:p>
    <w:p w:rsidR="006D3C27" w:rsidRPr="006D3C27" w:rsidRDefault="006D3C27" w:rsidP="006D3C27">
      <w:pPr>
        <w:numPr>
          <w:ilvl w:val="0"/>
          <w:numId w:val="3"/>
        </w:numPr>
        <w:spacing w:line="240" w:lineRule="auto"/>
      </w:pPr>
      <w:r w:rsidRPr="006D3C27">
        <w:t>Le 2</w:t>
      </w:r>
      <w:r w:rsidRPr="006D3C27">
        <w:rPr>
          <w:vertAlign w:val="superscript"/>
        </w:rPr>
        <w:t>ième</w:t>
      </w:r>
      <w:r w:rsidRPr="006D3C27">
        <w:t xml:space="preserve"> chiffre est l’épaisseur du tuyau.</w:t>
      </w:r>
    </w:p>
    <w:p w:rsidR="006D3C27" w:rsidRPr="006D3C27" w:rsidRDefault="006D3C27" w:rsidP="006D3C27">
      <w:pPr>
        <w:spacing w:line="240" w:lineRule="auto"/>
      </w:pPr>
      <w:r w:rsidRPr="006D3C27">
        <w:t xml:space="preserve">Soit un tuyau « 14x1 » donnera un diamètre extérieur de 14mm et un diamètre intérieur de 12 </w:t>
      </w:r>
      <w:proofErr w:type="spellStart"/>
      <w:r w:rsidRPr="006D3C27">
        <w:t>mm.</w:t>
      </w:r>
      <w:proofErr w:type="spellEnd"/>
    </w:p>
    <w:p w:rsidR="006D3C27" w:rsidRPr="006D3C27" w:rsidRDefault="006D3C27" w:rsidP="006D3C27">
      <w:pPr>
        <w:spacing w:line="240" w:lineRule="auto"/>
      </w:pPr>
      <w:r w:rsidRPr="006D3C27">
        <w:t xml:space="preserve">Le tube « 10x1 » n’est pas pris en compte par le logiciel car le DTU n’autorise pas d’alimentation d’appareil avec un diamètre intérieur inférieur à 10 </w:t>
      </w:r>
      <w:proofErr w:type="spellStart"/>
      <w:r w:rsidRPr="006D3C27">
        <w:t>mm.</w:t>
      </w:r>
      <w:proofErr w:type="spellEnd"/>
      <w:r w:rsidRPr="006D3C27">
        <w:t xml:space="preserve"> Le tube « 10x1 » correspond à un diamètre intérieur de 8 </w:t>
      </w:r>
      <w:proofErr w:type="spellStart"/>
      <w:r w:rsidRPr="006D3C27">
        <w:t>mm.</w:t>
      </w:r>
      <w:proofErr w:type="spellEnd"/>
    </w:p>
    <w:p w:rsidR="006D3C27" w:rsidRPr="006D3C27" w:rsidRDefault="006D3C27" w:rsidP="006D3C27">
      <w:pPr>
        <w:spacing w:line="240" w:lineRule="auto"/>
      </w:pPr>
      <w:r w:rsidRPr="006D3C27">
        <w:rPr>
          <w:b/>
          <w:bCs/>
        </w:rPr>
        <w:t>Cuivre norme A51-120</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3706"/>
        <w:gridCol w:w="3624"/>
      </w:tblGrid>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rPr>
                <w:b/>
                <w:bCs/>
              </w:rPr>
              <w:t>Diamètre extérieur</w:t>
            </w:r>
          </w:p>
        </w:tc>
        <w:tc>
          <w:tcPr>
            <w:tcW w:w="0" w:type="auto"/>
            <w:vAlign w:val="center"/>
            <w:hideMark/>
          </w:tcPr>
          <w:p w:rsidR="006D3C27" w:rsidRPr="006D3C27" w:rsidRDefault="006D3C27" w:rsidP="006D3C27">
            <w:pPr>
              <w:spacing w:line="240" w:lineRule="auto"/>
            </w:pPr>
            <w:r w:rsidRPr="006D3C27">
              <w:rPr>
                <w:b/>
                <w:bCs/>
              </w:rPr>
              <w:t>Diamètre intérieur</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12 x 1</w:t>
            </w:r>
          </w:p>
        </w:tc>
        <w:tc>
          <w:tcPr>
            <w:tcW w:w="0" w:type="auto"/>
            <w:vAlign w:val="center"/>
            <w:hideMark/>
          </w:tcPr>
          <w:p w:rsidR="006D3C27" w:rsidRPr="006D3C27" w:rsidRDefault="006D3C27" w:rsidP="006D3C27">
            <w:pPr>
              <w:spacing w:line="240" w:lineRule="auto"/>
            </w:pPr>
            <w:r w:rsidRPr="006D3C27">
              <w:t>10</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lastRenderedPageBreak/>
              <w:t>14 x 1</w:t>
            </w:r>
          </w:p>
        </w:tc>
        <w:tc>
          <w:tcPr>
            <w:tcW w:w="0" w:type="auto"/>
            <w:vAlign w:val="center"/>
            <w:hideMark/>
          </w:tcPr>
          <w:p w:rsidR="006D3C27" w:rsidRPr="006D3C27" w:rsidRDefault="006D3C27" w:rsidP="006D3C27">
            <w:pPr>
              <w:spacing w:line="240" w:lineRule="auto"/>
            </w:pPr>
            <w:r w:rsidRPr="006D3C27">
              <w:t>12</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16 x 1</w:t>
            </w:r>
          </w:p>
        </w:tc>
        <w:tc>
          <w:tcPr>
            <w:tcW w:w="0" w:type="auto"/>
            <w:vAlign w:val="center"/>
            <w:hideMark/>
          </w:tcPr>
          <w:p w:rsidR="006D3C27" w:rsidRPr="006D3C27" w:rsidRDefault="006D3C27" w:rsidP="006D3C27">
            <w:pPr>
              <w:spacing w:line="240" w:lineRule="auto"/>
            </w:pPr>
            <w:r w:rsidRPr="006D3C27">
              <w:t>14</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18 x 1</w:t>
            </w:r>
          </w:p>
        </w:tc>
        <w:tc>
          <w:tcPr>
            <w:tcW w:w="0" w:type="auto"/>
            <w:vAlign w:val="center"/>
            <w:hideMark/>
          </w:tcPr>
          <w:p w:rsidR="006D3C27" w:rsidRPr="006D3C27" w:rsidRDefault="006D3C27" w:rsidP="006D3C27">
            <w:pPr>
              <w:spacing w:line="240" w:lineRule="auto"/>
            </w:pPr>
            <w:r w:rsidRPr="006D3C27">
              <w:t>16</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20 x 1</w:t>
            </w:r>
          </w:p>
        </w:tc>
        <w:tc>
          <w:tcPr>
            <w:tcW w:w="0" w:type="auto"/>
            <w:vAlign w:val="center"/>
            <w:hideMark/>
          </w:tcPr>
          <w:p w:rsidR="006D3C27" w:rsidRPr="006D3C27" w:rsidRDefault="006D3C27" w:rsidP="006D3C27">
            <w:pPr>
              <w:spacing w:line="240" w:lineRule="auto"/>
            </w:pPr>
            <w:r w:rsidRPr="006D3C27">
              <w:t>18</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22 x 1</w:t>
            </w:r>
          </w:p>
        </w:tc>
        <w:tc>
          <w:tcPr>
            <w:tcW w:w="0" w:type="auto"/>
            <w:vAlign w:val="center"/>
            <w:hideMark/>
          </w:tcPr>
          <w:p w:rsidR="006D3C27" w:rsidRPr="006D3C27" w:rsidRDefault="006D3C27" w:rsidP="006D3C27">
            <w:pPr>
              <w:spacing w:line="240" w:lineRule="auto"/>
            </w:pPr>
            <w:r w:rsidRPr="006D3C27">
              <w:t>20</w:t>
            </w:r>
          </w:p>
        </w:tc>
      </w:tr>
    </w:tbl>
    <w:p w:rsidR="006D3C27" w:rsidRPr="006D3C27" w:rsidRDefault="006D3C27" w:rsidP="006D3C27">
      <w:pPr>
        <w:spacing w:line="240" w:lineRule="auto"/>
      </w:pPr>
    </w:p>
    <w:p w:rsidR="006D3C27" w:rsidRPr="006D3C27" w:rsidRDefault="006D3C27" w:rsidP="006D3C27">
      <w:pPr>
        <w:spacing w:line="240" w:lineRule="auto"/>
        <w:rPr>
          <w:bCs/>
          <w:i/>
          <w:u w:val="single"/>
        </w:rPr>
      </w:pPr>
      <w:bookmarkStart w:id="1" w:name="_Toc503628749"/>
      <w:r w:rsidRPr="006D3C27">
        <w:rPr>
          <w:bCs/>
          <w:i/>
          <w:u w:val="single"/>
        </w:rPr>
        <w:t>Tuyauteries en Acier Galvanisée</w:t>
      </w:r>
      <w:bookmarkEnd w:id="1"/>
    </w:p>
    <w:p w:rsidR="006D3C27" w:rsidRPr="006D3C27" w:rsidRDefault="006D3C27" w:rsidP="006D3C27">
      <w:pPr>
        <w:spacing w:line="240" w:lineRule="auto"/>
      </w:pPr>
    </w:p>
    <w:p w:rsidR="006D3C27" w:rsidRPr="006D3C27" w:rsidRDefault="006D3C27" w:rsidP="006D3C27">
      <w:pPr>
        <w:spacing w:line="240" w:lineRule="auto"/>
      </w:pPr>
      <w:r w:rsidRPr="006D3C27">
        <w:t>Il s’agit de tube conforme à la NF A49-145 tube soudé (on voit la soudure de jonction à l'intérieur du tube), appelé antérieurement  tarif 1. Le diamètre de tuyauterie est conforme à cette norme.</w:t>
      </w:r>
    </w:p>
    <w:p w:rsidR="006D3C27" w:rsidRPr="006D3C27" w:rsidRDefault="006D3C27" w:rsidP="006D3C27">
      <w:pPr>
        <w:spacing w:line="240" w:lineRule="auto"/>
      </w:pPr>
      <w:r w:rsidRPr="006D3C27">
        <w:t>Attention :</w:t>
      </w:r>
    </w:p>
    <w:p w:rsidR="00F1144B" w:rsidRPr="006D3C27" w:rsidRDefault="006D3C27" w:rsidP="006D3C27">
      <w:pPr>
        <w:spacing w:line="240" w:lineRule="auto"/>
      </w:pPr>
      <w:r w:rsidRPr="006D3C27">
        <w:t xml:space="preserve">Les tubes étirés (sans soudure) conforme  à la NF A49-115 (ex tarif 3) ont une épaisseur différente et donc un diamètre différent. </w:t>
      </w:r>
    </w:p>
    <w:p w:rsidR="006D3C27" w:rsidRPr="006D3C27" w:rsidRDefault="006D3C27" w:rsidP="006D3C27">
      <w:pPr>
        <w:spacing w:line="240" w:lineRule="auto"/>
      </w:pPr>
      <w:r w:rsidRPr="006D3C27">
        <w:t>La nomenclature autorisée est :</w:t>
      </w:r>
    </w:p>
    <w:p w:rsidR="006D3C27" w:rsidRPr="006D3C27" w:rsidRDefault="006D3C27" w:rsidP="006D3C27">
      <w:pPr>
        <w:spacing w:line="240" w:lineRule="auto"/>
      </w:pPr>
      <w:r w:rsidRPr="006D3C27">
        <w:t>"12/17", "15/21", "20/27", "26/34", "33/42", "40/49", "50/60", "70/76", "80/90", "100/115"</w:t>
      </w:r>
    </w:p>
    <w:p w:rsidR="006D3C27" w:rsidRPr="006D3C27" w:rsidRDefault="006D3C27" w:rsidP="006D3C27">
      <w:pPr>
        <w:spacing w:line="240" w:lineRule="auto"/>
      </w:pPr>
      <w:r w:rsidRPr="006D3C27">
        <w:t xml:space="preserve">Si vous calculez une installation de distribution d’eau chaude sanitaire en acier galvanisé, un avertissement figurera dans la note de calcul pour indiquer que ce type de tuyauterie n’est plus autorisé dans le cas où les tubes peuvent être parcourus par de l’eau à une température supérieure à 60°C, ce qui est le cas lors de la mise en œuvre des programmes </w:t>
      </w:r>
      <w:proofErr w:type="spellStart"/>
      <w:r w:rsidRPr="006D3C27">
        <w:t>antilégionnelle</w:t>
      </w:r>
      <w:proofErr w:type="spellEnd"/>
      <w:r w:rsidRPr="006D3C27">
        <w:t xml:space="preserve"> sur les échangeurs à plaque.</w:t>
      </w:r>
    </w:p>
    <w:p w:rsidR="006D3C27" w:rsidRPr="006D3C27" w:rsidRDefault="006D3C27" w:rsidP="006D3C27">
      <w:pPr>
        <w:spacing w:line="240" w:lineRule="auto"/>
      </w:pPr>
      <w:r w:rsidRPr="006D3C27">
        <w:t xml:space="preserve">Toutefois, le logiciel garde la possibilité de faire un calcul de distribution d’eau chaude sanitaire avec ce type de tuyauteries car le DTU 60.11 de 1988 ne proscrivait pas l’acier galvanisé et en raison du grand nombre d’installation réalisé avec ce matériau. </w:t>
      </w:r>
    </w:p>
    <w:p w:rsidR="006D3C27" w:rsidRPr="006D3C27" w:rsidRDefault="006D3C27" w:rsidP="006D3C27">
      <w:pPr>
        <w:spacing w:line="240" w:lineRule="auto"/>
      </w:pPr>
      <w:r w:rsidRPr="006D3C27">
        <w:rPr>
          <w:b/>
          <w:bCs/>
        </w:rPr>
        <w:t>Acier norme A49-145 (ex tarif 1)</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2396"/>
        <w:gridCol w:w="2338"/>
        <w:gridCol w:w="742"/>
        <w:gridCol w:w="1854"/>
      </w:tblGrid>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rPr>
                <w:b/>
                <w:bCs/>
              </w:rPr>
              <w:t>Ancienne dénomination</w:t>
            </w:r>
          </w:p>
        </w:tc>
        <w:tc>
          <w:tcPr>
            <w:tcW w:w="0" w:type="auto"/>
            <w:vAlign w:val="center"/>
            <w:hideMark/>
          </w:tcPr>
          <w:p w:rsidR="006D3C27" w:rsidRPr="006D3C27" w:rsidRDefault="006D3C27" w:rsidP="006D3C27">
            <w:pPr>
              <w:spacing w:line="240" w:lineRule="auto"/>
            </w:pPr>
            <w:r w:rsidRPr="006D3C27">
              <w:rPr>
                <w:b/>
                <w:bCs/>
              </w:rPr>
              <w:t>Nouvelle dénomination</w:t>
            </w:r>
          </w:p>
        </w:tc>
        <w:tc>
          <w:tcPr>
            <w:tcW w:w="0" w:type="auto"/>
            <w:vAlign w:val="center"/>
            <w:hideMark/>
          </w:tcPr>
          <w:p w:rsidR="006D3C27" w:rsidRPr="006D3C27" w:rsidRDefault="006D3C27" w:rsidP="006D3C27">
            <w:pPr>
              <w:spacing w:line="240" w:lineRule="auto"/>
            </w:pPr>
            <w:r w:rsidRPr="006D3C27">
              <w:rPr>
                <w:b/>
                <w:bCs/>
              </w:rPr>
              <w:t>pouces</w:t>
            </w:r>
          </w:p>
        </w:tc>
        <w:tc>
          <w:tcPr>
            <w:tcW w:w="0" w:type="auto"/>
            <w:vAlign w:val="center"/>
            <w:hideMark/>
          </w:tcPr>
          <w:p w:rsidR="006D3C27" w:rsidRPr="006D3C27" w:rsidRDefault="006D3C27" w:rsidP="006D3C27">
            <w:pPr>
              <w:spacing w:line="240" w:lineRule="auto"/>
            </w:pPr>
            <w:r w:rsidRPr="006D3C27">
              <w:rPr>
                <w:b/>
                <w:bCs/>
              </w:rPr>
              <w:t>diamètre intérieur</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12-17</w:t>
            </w:r>
          </w:p>
        </w:tc>
        <w:tc>
          <w:tcPr>
            <w:tcW w:w="0" w:type="auto"/>
            <w:vAlign w:val="center"/>
            <w:hideMark/>
          </w:tcPr>
          <w:p w:rsidR="006D3C27" w:rsidRPr="006D3C27" w:rsidRDefault="006D3C27" w:rsidP="006D3C27">
            <w:pPr>
              <w:spacing w:line="240" w:lineRule="auto"/>
            </w:pPr>
            <w:r w:rsidRPr="006D3C27">
              <w:t>17.2 x 2.0</w:t>
            </w:r>
          </w:p>
        </w:tc>
        <w:tc>
          <w:tcPr>
            <w:tcW w:w="0" w:type="auto"/>
            <w:vAlign w:val="center"/>
            <w:hideMark/>
          </w:tcPr>
          <w:p w:rsidR="006D3C27" w:rsidRPr="006D3C27" w:rsidRDefault="006D3C27" w:rsidP="006D3C27">
            <w:pPr>
              <w:spacing w:line="240" w:lineRule="auto"/>
            </w:pPr>
            <w:r w:rsidRPr="006D3C27">
              <w:t>3/8</w:t>
            </w:r>
          </w:p>
        </w:tc>
        <w:tc>
          <w:tcPr>
            <w:tcW w:w="0" w:type="auto"/>
            <w:vAlign w:val="center"/>
            <w:hideMark/>
          </w:tcPr>
          <w:p w:rsidR="006D3C27" w:rsidRPr="006D3C27" w:rsidRDefault="006D3C27" w:rsidP="006D3C27">
            <w:pPr>
              <w:spacing w:line="240" w:lineRule="auto"/>
            </w:pPr>
            <w:r w:rsidRPr="006D3C27">
              <w:t>13.2</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15-21</w:t>
            </w:r>
          </w:p>
        </w:tc>
        <w:tc>
          <w:tcPr>
            <w:tcW w:w="0" w:type="auto"/>
            <w:vAlign w:val="center"/>
            <w:hideMark/>
          </w:tcPr>
          <w:p w:rsidR="006D3C27" w:rsidRPr="006D3C27" w:rsidRDefault="006D3C27" w:rsidP="006D3C27">
            <w:pPr>
              <w:spacing w:line="240" w:lineRule="auto"/>
            </w:pPr>
            <w:r w:rsidRPr="006D3C27">
              <w:t>21.3 x 2.3</w:t>
            </w:r>
          </w:p>
        </w:tc>
        <w:tc>
          <w:tcPr>
            <w:tcW w:w="0" w:type="auto"/>
            <w:vAlign w:val="center"/>
            <w:hideMark/>
          </w:tcPr>
          <w:p w:rsidR="006D3C27" w:rsidRPr="006D3C27" w:rsidRDefault="006D3C27" w:rsidP="006D3C27">
            <w:pPr>
              <w:spacing w:line="240" w:lineRule="auto"/>
            </w:pPr>
            <w:r w:rsidRPr="006D3C27">
              <w:t>1/2</w:t>
            </w:r>
          </w:p>
        </w:tc>
        <w:tc>
          <w:tcPr>
            <w:tcW w:w="0" w:type="auto"/>
            <w:vAlign w:val="center"/>
            <w:hideMark/>
          </w:tcPr>
          <w:p w:rsidR="006D3C27" w:rsidRPr="006D3C27" w:rsidRDefault="006D3C27" w:rsidP="006D3C27">
            <w:pPr>
              <w:spacing w:line="240" w:lineRule="auto"/>
            </w:pPr>
            <w:r w:rsidRPr="006D3C27">
              <w:t>16.7</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20-27</w:t>
            </w:r>
          </w:p>
        </w:tc>
        <w:tc>
          <w:tcPr>
            <w:tcW w:w="0" w:type="auto"/>
            <w:vAlign w:val="center"/>
            <w:hideMark/>
          </w:tcPr>
          <w:p w:rsidR="006D3C27" w:rsidRPr="006D3C27" w:rsidRDefault="006D3C27" w:rsidP="006D3C27">
            <w:pPr>
              <w:spacing w:line="240" w:lineRule="auto"/>
            </w:pPr>
            <w:r w:rsidRPr="006D3C27">
              <w:t>26.9 x 2.3</w:t>
            </w:r>
          </w:p>
        </w:tc>
        <w:tc>
          <w:tcPr>
            <w:tcW w:w="0" w:type="auto"/>
            <w:vAlign w:val="center"/>
            <w:hideMark/>
          </w:tcPr>
          <w:p w:rsidR="006D3C27" w:rsidRPr="006D3C27" w:rsidRDefault="006D3C27" w:rsidP="006D3C27">
            <w:pPr>
              <w:spacing w:line="240" w:lineRule="auto"/>
            </w:pPr>
            <w:r w:rsidRPr="006D3C27">
              <w:t>3/4</w:t>
            </w:r>
          </w:p>
        </w:tc>
        <w:tc>
          <w:tcPr>
            <w:tcW w:w="0" w:type="auto"/>
            <w:vAlign w:val="center"/>
            <w:hideMark/>
          </w:tcPr>
          <w:p w:rsidR="006D3C27" w:rsidRPr="006D3C27" w:rsidRDefault="006D3C27" w:rsidP="006D3C27">
            <w:pPr>
              <w:spacing w:line="240" w:lineRule="auto"/>
            </w:pPr>
            <w:r w:rsidRPr="006D3C27">
              <w:t>22.3</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26-34</w:t>
            </w:r>
          </w:p>
        </w:tc>
        <w:tc>
          <w:tcPr>
            <w:tcW w:w="0" w:type="auto"/>
            <w:vAlign w:val="center"/>
            <w:hideMark/>
          </w:tcPr>
          <w:p w:rsidR="006D3C27" w:rsidRPr="006D3C27" w:rsidRDefault="006D3C27" w:rsidP="006D3C27">
            <w:pPr>
              <w:spacing w:line="240" w:lineRule="auto"/>
            </w:pPr>
            <w:r w:rsidRPr="006D3C27">
              <w:t>33.7 x 2.9</w:t>
            </w:r>
          </w:p>
        </w:tc>
        <w:tc>
          <w:tcPr>
            <w:tcW w:w="0" w:type="auto"/>
            <w:vAlign w:val="center"/>
            <w:hideMark/>
          </w:tcPr>
          <w:p w:rsidR="006D3C27" w:rsidRPr="006D3C27" w:rsidRDefault="006D3C27" w:rsidP="006D3C27">
            <w:pPr>
              <w:spacing w:line="240" w:lineRule="auto"/>
            </w:pPr>
            <w:r w:rsidRPr="006D3C27">
              <w:t>1</w:t>
            </w:r>
          </w:p>
        </w:tc>
        <w:tc>
          <w:tcPr>
            <w:tcW w:w="0" w:type="auto"/>
            <w:vAlign w:val="center"/>
            <w:hideMark/>
          </w:tcPr>
          <w:p w:rsidR="006D3C27" w:rsidRPr="006D3C27" w:rsidRDefault="006D3C27" w:rsidP="006D3C27">
            <w:pPr>
              <w:spacing w:line="240" w:lineRule="auto"/>
            </w:pPr>
            <w:r w:rsidRPr="006D3C27">
              <w:t>27.9</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33-42</w:t>
            </w:r>
          </w:p>
        </w:tc>
        <w:tc>
          <w:tcPr>
            <w:tcW w:w="0" w:type="auto"/>
            <w:vAlign w:val="center"/>
            <w:hideMark/>
          </w:tcPr>
          <w:p w:rsidR="006D3C27" w:rsidRPr="006D3C27" w:rsidRDefault="006D3C27" w:rsidP="006D3C27">
            <w:pPr>
              <w:spacing w:line="240" w:lineRule="auto"/>
            </w:pPr>
            <w:r w:rsidRPr="006D3C27">
              <w:t>42.4 x 2.9</w:t>
            </w:r>
          </w:p>
        </w:tc>
        <w:tc>
          <w:tcPr>
            <w:tcW w:w="0" w:type="auto"/>
            <w:vAlign w:val="center"/>
            <w:hideMark/>
          </w:tcPr>
          <w:p w:rsidR="006D3C27" w:rsidRPr="006D3C27" w:rsidRDefault="006D3C27" w:rsidP="006D3C27">
            <w:pPr>
              <w:spacing w:line="240" w:lineRule="auto"/>
            </w:pPr>
            <w:r w:rsidRPr="006D3C27">
              <w:t>1 1/4</w:t>
            </w:r>
          </w:p>
        </w:tc>
        <w:tc>
          <w:tcPr>
            <w:tcW w:w="0" w:type="auto"/>
            <w:vAlign w:val="center"/>
            <w:hideMark/>
          </w:tcPr>
          <w:p w:rsidR="006D3C27" w:rsidRPr="006D3C27" w:rsidRDefault="006D3C27" w:rsidP="006D3C27">
            <w:pPr>
              <w:spacing w:line="240" w:lineRule="auto"/>
            </w:pPr>
            <w:r w:rsidRPr="006D3C27">
              <w:t>36.6</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40-49</w:t>
            </w:r>
          </w:p>
        </w:tc>
        <w:tc>
          <w:tcPr>
            <w:tcW w:w="0" w:type="auto"/>
            <w:vAlign w:val="center"/>
            <w:hideMark/>
          </w:tcPr>
          <w:p w:rsidR="006D3C27" w:rsidRPr="006D3C27" w:rsidRDefault="006D3C27" w:rsidP="006D3C27">
            <w:pPr>
              <w:spacing w:line="240" w:lineRule="auto"/>
            </w:pPr>
            <w:r w:rsidRPr="006D3C27">
              <w:t>48.3 x 2.9</w:t>
            </w:r>
          </w:p>
        </w:tc>
        <w:tc>
          <w:tcPr>
            <w:tcW w:w="0" w:type="auto"/>
            <w:vAlign w:val="center"/>
            <w:hideMark/>
          </w:tcPr>
          <w:p w:rsidR="006D3C27" w:rsidRPr="006D3C27" w:rsidRDefault="006D3C27" w:rsidP="006D3C27">
            <w:pPr>
              <w:spacing w:line="240" w:lineRule="auto"/>
            </w:pPr>
            <w:r w:rsidRPr="006D3C27">
              <w:t>1 1/2</w:t>
            </w:r>
          </w:p>
        </w:tc>
        <w:tc>
          <w:tcPr>
            <w:tcW w:w="0" w:type="auto"/>
            <w:vAlign w:val="center"/>
            <w:hideMark/>
          </w:tcPr>
          <w:p w:rsidR="006D3C27" w:rsidRPr="006D3C27" w:rsidRDefault="006D3C27" w:rsidP="006D3C27">
            <w:pPr>
              <w:spacing w:line="240" w:lineRule="auto"/>
            </w:pPr>
            <w:r w:rsidRPr="006D3C27">
              <w:t>42.5</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lastRenderedPageBreak/>
              <w:t>50-60</w:t>
            </w:r>
          </w:p>
        </w:tc>
        <w:tc>
          <w:tcPr>
            <w:tcW w:w="0" w:type="auto"/>
            <w:vAlign w:val="center"/>
            <w:hideMark/>
          </w:tcPr>
          <w:p w:rsidR="006D3C27" w:rsidRPr="006D3C27" w:rsidRDefault="006D3C27" w:rsidP="006D3C27">
            <w:pPr>
              <w:spacing w:line="240" w:lineRule="auto"/>
            </w:pPr>
            <w:r w:rsidRPr="006D3C27">
              <w:t>60.3 x 3.2</w:t>
            </w:r>
          </w:p>
        </w:tc>
        <w:tc>
          <w:tcPr>
            <w:tcW w:w="0" w:type="auto"/>
            <w:vAlign w:val="center"/>
            <w:hideMark/>
          </w:tcPr>
          <w:p w:rsidR="006D3C27" w:rsidRPr="006D3C27" w:rsidRDefault="006D3C27" w:rsidP="006D3C27">
            <w:pPr>
              <w:spacing w:line="240" w:lineRule="auto"/>
            </w:pPr>
            <w:r w:rsidRPr="006D3C27">
              <w:t>2</w:t>
            </w:r>
          </w:p>
        </w:tc>
        <w:tc>
          <w:tcPr>
            <w:tcW w:w="0" w:type="auto"/>
            <w:vAlign w:val="center"/>
            <w:hideMark/>
          </w:tcPr>
          <w:p w:rsidR="006D3C27" w:rsidRPr="006D3C27" w:rsidRDefault="006D3C27" w:rsidP="006D3C27">
            <w:pPr>
              <w:spacing w:line="240" w:lineRule="auto"/>
            </w:pPr>
            <w:r w:rsidRPr="006D3C27">
              <w:t>53.9</w:t>
            </w:r>
          </w:p>
        </w:tc>
      </w:tr>
    </w:tbl>
    <w:p w:rsidR="006D3C27" w:rsidRPr="006D3C27" w:rsidRDefault="006D3C27" w:rsidP="006D3C27">
      <w:pPr>
        <w:spacing w:line="240" w:lineRule="auto"/>
      </w:pPr>
    </w:p>
    <w:p w:rsidR="006D3C27" w:rsidRPr="006D3C27" w:rsidRDefault="006D3C27" w:rsidP="006D3C27">
      <w:pPr>
        <w:spacing w:line="240" w:lineRule="auto"/>
        <w:rPr>
          <w:bCs/>
          <w:i/>
          <w:u w:val="single"/>
        </w:rPr>
      </w:pPr>
      <w:bookmarkStart w:id="2" w:name="_Toc503628750"/>
      <w:r w:rsidRPr="006D3C27">
        <w:rPr>
          <w:bCs/>
          <w:i/>
          <w:u w:val="single"/>
        </w:rPr>
        <w:t xml:space="preserve">Tuyauteries en Polychlorure de Vinyle </w:t>
      </w:r>
      <w:proofErr w:type="spellStart"/>
      <w:r w:rsidRPr="006D3C27">
        <w:rPr>
          <w:bCs/>
          <w:i/>
          <w:u w:val="single"/>
        </w:rPr>
        <w:t>Surchloré</w:t>
      </w:r>
      <w:proofErr w:type="spellEnd"/>
      <w:r w:rsidRPr="006D3C27">
        <w:rPr>
          <w:bCs/>
          <w:i/>
          <w:u w:val="single"/>
        </w:rPr>
        <w:t xml:space="preserve"> (PVC-C)</w:t>
      </w:r>
      <w:bookmarkEnd w:id="2"/>
    </w:p>
    <w:p w:rsidR="006D3C27" w:rsidRPr="006D3C27" w:rsidRDefault="006D3C27" w:rsidP="006D3C27">
      <w:pPr>
        <w:spacing w:line="240" w:lineRule="auto"/>
      </w:pPr>
      <w:r w:rsidRPr="006D3C27">
        <w:t>La nomenclature autorisée est :</w:t>
      </w:r>
    </w:p>
    <w:p w:rsidR="006D3C27" w:rsidRPr="006D3C27" w:rsidRDefault="006D3C27" w:rsidP="006D3C27">
      <w:pPr>
        <w:spacing w:line="240" w:lineRule="auto"/>
      </w:pPr>
      <w:r w:rsidRPr="006D3C27">
        <w:t>"12,4/16 DN16", "15,4/20  DN20", "19,4/25  DN25", "24,8/32  DN32", "31,0/40  DN40", "38,8/50  DN50"</w:t>
      </w:r>
    </w:p>
    <w:p w:rsidR="006D3C27" w:rsidRPr="006D3C27" w:rsidRDefault="006D3C27" w:rsidP="006D3C27">
      <w:pPr>
        <w:spacing w:line="240" w:lineRule="auto"/>
        <w:rPr>
          <w:bCs/>
          <w:i/>
          <w:u w:val="single"/>
        </w:rPr>
      </w:pPr>
      <w:bookmarkStart w:id="3" w:name="_Toc503628751"/>
      <w:r w:rsidRPr="006D3C27">
        <w:rPr>
          <w:bCs/>
          <w:i/>
          <w:u w:val="single"/>
        </w:rPr>
        <w:t>Tuyauteries de type tubes multicouches</w:t>
      </w:r>
      <w:bookmarkEnd w:id="3"/>
    </w:p>
    <w:p w:rsidR="006D3C27" w:rsidRPr="006D3C27" w:rsidRDefault="006D3C27" w:rsidP="006D3C27">
      <w:pPr>
        <w:spacing w:line="240" w:lineRule="auto"/>
      </w:pPr>
      <w:r w:rsidRPr="006D3C27">
        <w:t>La nomenclature autorisée est :</w:t>
      </w:r>
    </w:p>
    <w:p w:rsidR="006D3C27" w:rsidRPr="006D3C27" w:rsidRDefault="006D3C27" w:rsidP="006D3C27">
      <w:pPr>
        <w:spacing w:line="240" w:lineRule="auto"/>
      </w:pPr>
      <w:r w:rsidRPr="006D3C27">
        <w:t>"14x2", "16x2", "20x2", "26x3", "32x3"</w:t>
      </w:r>
    </w:p>
    <w:p w:rsidR="006D3C27" w:rsidRPr="006D3C27" w:rsidRDefault="006D3C27" w:rsidP="006D3C27">
      <w:pPr>
        <w:spacing w:line="240" w:lineRule="auto"/>
      </w:pPr>
      <w:r w:rsidRPr="006D3C27">
        <w:t>Pour rappel :</w:t>
      </w:r>
    </w:p>
    <w:p w:rsidR="006D3C27" w:rsidRPr="006D3C27" w:rsidRDefault="006D3C27" w:rsidP="006D3C27">
      <w:pPr>
        <w:numPr>
          <w:ilvl w:val="0"/>
          <w:numId w:val="3"/>
        </w:numPr>
        <w:spacing w:line="240" w:lineRule="auto"/>
      </w:pPr>
      <w:r w:rsidRPr="006D3C27">
        <w:t>Le 1</w:t>
      </w:r>
      <w:r w:rsidRPr="006D3C27">
        <w:rPr>
          <w:vertAlign w:val="superscript"/>
        </w:rPr>
        <w:t>ier</w:t>
      </w:r>
      <w:r w:rsidRPr="006D3C27">
        <w:t xml:space="preserve"> chiffre est le diamètre extérieur.</w:t>
      </w:r>
    </w:p>
    <w:p w:rsidR="006D3C27" w:rsidRPr="006D3C27" w:rsidRDefault="006D3C27" w:rsidP="006D3C27">
      <w:pPr>
        <w:numPr>
          <w:ilvl w:val="0"/>
          <w:numId w:val="3"/>
        </w:numPr>
        <w:spacing w:line="240" w:lineRule="auto"/>
      </w:pPr>
      <w:r w:rsidRPr="006D3C27">
        <w:t>Le 2</w:t>
      </w:r>
      <w:r w:rsidRPr="006D3C27">
        <w:rPr>
          <w:vertAlign w:val="superscript"/>
        </w:rPr>
        <w:t>ième</w:t>
      </w:r>
      <w:r w:rsidRPr="006D3C27">
        <w:t xml:space="preserve"> chiffre est l’épaisseur du tuyau.</w:t>
      </w:r>
    </w:p>
    <w:p w:rsidR="006D3C27" w:rsidRPr="006D3C27" w:rsidRDefault="006D3C27" w:rsidP="006D3C27">
      <w:pPr>
        <w:spacing w:line="240" w:lineRule="auto"/>
      </w:pPr>
      <w:r w:rsidRPr="006D3C27">
        <w:t xml:space="preserve">Soit un tuyau « 14x2 » donnera un diamètre extérieur de 14mm et un diamètre intérieur de 10 </w:t>
      </w:r>
      <w:proofErr w:type="spellStart"/>
      <w:r w:rsidRPr="006D3C27">
        <w:t>mm.</w:t>
      </w:r>
      <w:proofErr w:type="spellEnd"/>
    </w:p>
    <w:p w:rsidR="006D3C27" w:rsidRPr="006D3C27" w:rsidRDefault="006D3C27" w:rsidP="006D3C27">
      <w:pPr>
        <w:spacing w:line="240" w:lineRule="auto"/>
      </w:pPr>
    </w:p>
    <w:p w:rsidR="006D3C27" w:rsidRPr="006D3C27" w:rsidRDefault="006D3C27" w:rsidP="006D3C27">
      <w:pPr>
        <w:spacing w:line="240" w:lineRule="auto"/>
        <w:rPr>
          <w:bCs/>
          <w:i/>
          <w:u w:val="single"/>
        </w:rPr>
      </w:pPr>
      <w:bookmarkStart w:id="4" w:name="_Toc503628752"/>
      <w:r w:rsidRPr="006D3C27">
        <w:rPr>
          <w:bCs/>
          <w:i/>
          <w:u w:val="single"/>
        </w:rPr>
        <w:t>Tuyauteries  en Polyéthylène Réticulé (PER ou PEX)</w:t>
      </w:r>
      <w:bookmarkEnd w:id="4"/>
    </w:p>
    <w:p w:rsidR="006D3C27" w:rsidRPr="006D3C27" w:rsidRDefault="006D3C27" w:rsidP="006D3C27">
      <w:pPr>
        <w:spacing w:line="240" w:lineRule="auto"/>
      </w:pPr>
      <w:r w:rsidRPr="006D3C27">
        <w:t xml:space="preserve">Définition Wikipédia (lien : </w:t>
      </w:r>
      <w:hyperlink r:id="rId6" w:history="1">
        <w:r w:rsidRPr="006D3C27">
          <w:rPr>
            <w:rStyle w:val="Lienhypertexte"/>
          </w:rPr>
          <w:t>https://fr.wikipedia.org/wiki/Polyéthylène_réticulé</w:t>
        </w:r>
      </w:hyperlink>
      <w:r w:rsidRPr="006D3C27">
        <w:t>) :</w:t>
      </w:r>
    </w:p>
    <w:p w:rsidR="006D3C27" w:rsidRPr="006D3C27" w:rsidRDefault="006D3C27" w:rsidP="006D3C27">
      <w:pPr>
        <w:spacing w:line="240" w:lineRule="auto"/>
      </w:pPr>
      <w:r w:rsidRPr="006D3C27">
        <w:t xml:space="preserve">Le </w:t>
      </w:r>
      <w:r w:rsidRPr="006D3C27">
        <w:rPr>
          <w:b/>
          <w:bCs/>
        </w:rPr>
        <w:t>polyéthylène réticulé</w:t>
      </w:r>
      <w:r w:rsidRPr="006D3C27">
        <w:t xml:space="preserve"> (</w:t>
      </w:r>
      <w:r w:rsidRPr="006D3C27">
        <w:rPr>
          <w:b/>
          <w:bCs/>
        </w:rPr>
        <w:t>PER</w:t>
      </w:r>
      <w:r w:rsidRPr="006D3C27">
        <w:t xml:space="preserve">, aussi appelé </w:t>
      </w:r>
      <w:r w:rsidRPr="006D3C27">
        <w:rPr>
          <w:b/>
          <w:bCs/>
        </w:rPr>
        <w:t>PEX</w:t>
      </w:r>
      <w:r w:rsidRPr="006D3C27">
        <w:t xml:space="preserve"> dans les pays anglo-saxons) est un type de </w:t>
      </w:r>
      <w:hyperlink r:id="rId7" w:tooltip="Polyéthylène" w:history="1">
        <w:r w:rsidRPr="006D3C27">
          <w:rPr>
            <w:rStyle w:val="Lienhypertexte"/>
          </w:rPr>
          <w:t>polyéthylène</w:t>
        </w:r>
      </w:hyperlink>
      <w:r w:rsidRPr="006D3C27">
        <w:t xml:space="preserve"> ayant subi une </w:t>
      </w:r>
      <w:hyperlink r:id="rId8" w:tooltip="Réticulation" w:history="1">
        <w:r w:rsidRPr="006D3C27">
          <w:rPr>
            <w:rStyle w:val="Lienhypertexte"/>
          </w:rPr>
          <w:t>réticulation</w:t>
        </w:r>
      </w:hyperlink>
      <w:r w:rsidRPr="006D3C27">
        <w:t>, dans le but d'améliorer certaines propriétés, et particulièrement la résistance aux hautes températures, ce qui permet l'utilisation du PER en réseau d’eau chaude et froide sanitaire ou en réseau de chauffage.</w:t>
      </w:r>
    </w:p>
    <w:p w:rsidR="006D3C27" w:rsidRPr="006D3C27" w:rsidRDefault="006D3C27" w:rsidP="006D3C27">
      <w:pPr>
        <w:spacing w:line="240" w:lineRule="auto"/>
      </w:pPr>
      <w:r w:rsidRPr="006D3C27">
        <w:t>La nomenclature autorisée est :</w:t>
      </w:r>
    </w:p>
    <w:p w:rsidR="006D3C27" w:rsidRPr="006D3C27" w:rsidRDefault="006D3C27" w:rsidP="006D3C27">
      <w:pPr>
        <w:spacing w:line="240" w:lineRule="auto"/>
      </w:pPr>
      <w:r w:rsidRPr="006D3C27">
        <w:t>"12x1,1", "16x1,5", "20x1,9", "25x2,3", "32x2,9", "40x3,7", "50x4,6", "63x5,8", "75x6,8", "90x8,2"</w:t>
      </w:r>
    </w:p>
    <w:p w:rsidR="006D3C27" w:rsidRPr="006D3C27" w:rsidRDefault="006D3C27" w:rsidP="006D3C27">
      <w:pPr>
        <w:spacing w:line="240" w:lineRule="auto"/>
      </w:pPr>
      <w:r w:rsidRPr="006D3C27">
        <w:rPr>
          <w:b/>
          <w:bCs/>
        </w:rPr>
        <w:t>P E R norme A54-085</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3706"/>
        <w:gridCol w:w="3624"/>
      </w:tblGrid>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rPr>
                <w:b/>
                <w:bCs/>
              </w:rPr>
              <w:t>Diamètre extérieur</w:t>
            </w:r>
          </w:p>
        </w:tc>
        <w:tc>
          <w:tcPr>
            <w:tcW w:w="0" w:type="auto"/>
            <w:vAlign w:val="center"/>
            <w:hideMark/>
          </w:tcPr>
          <w:p w:rsidR="006D3C27" w:rsidRPr="006D3C27" w:rsidRDefault="006D3C27" w:rsidP="006D3C27">
            <w:pPr>
              <w:spacing w:line="240" w:lineRule="auto"/>
            </w:pPr>
            <w:r w:rsidRPr="006D3C27">
              <w:rPr>
                <w:b/>
                <w:bCs/>
              </w:rPr>
              <w:t>Diamètre intérieur</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12 x 1.1</w:t>
            </w:r>
          </w:p>
        </w:tc>
        <w:tc>
          <w:tcPr>
            <w:tcW w:w="0" w:type="auto"/>
            <w:vAlign w:val="center"/>
            <w:hideMark/>
          </w:tcPr>
          <w:p w:rsidR="006D3C27" w:rsidRPr="006D3C27" w:rsidRDefault="006D3C27" w:rsidP="006D3C27">
            <w:pPr>
              <w:spacing w:line="240" w:lineRule="auto"/>
            </w:pPr>
            <w:r w:rsidRPr="006D3C27">
              <w:t>9.8</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16 x 1.5</w:t>
            </w:r>
          </w:p>
        </w:tc>
        <w:tc>
          <w:tcPr>
            <w:tcW w:w="0" w:type="auto"/>
            <w:vAlign w:val="center"/>
            <w:hideMark/>
          </w:tcPr>
          <w:p w:rsidR="006D3C27" w:rsidRPr="006D3C27" w:rsidRDefault="006D3C27" w:rsidP="006D3C27">
            <w:pPr>
              <w:spacing w:line="240" w:lineRule="auto"/>
            </w:pPr>
            <w:r w:rsidRPr="006D3C27">
              <w:t>13</w:t>
            </w:r>
          </w:p>
        </w:tc>
      </w:tr>
      <w:tr w:rsidR="006D3C27" w:rsidRPr="006D3C27" w:rsidTr="00763A5D">
        <w:trPr>
          <w:tblCellSpacing w:w="15" w:type="dxa"/>
        </w:trPr>
        <w:tc>
          <w:tcPr>
            <w:tcW w:w="0" w:type="auto"/>
            <w:vAlign w:val="center"/>
            <w:hideMark/>
          </w:tcPr>
          <w:p w:rsidR="006D3C27" w:rsidRPr="006D3C27" w:rsidRDefault="006D3C27" w:rsidP="006D3C27">
            <w:pPr>
              <w:spacing w:line="240" w:lineRule="auto"/>
            </w:pPr>
            <w:r w:rsidRPr="006D3C27">
              <w:t>20 x 1.9</w:t>
            </w:r>
          </w:p>
        </w:tc>
        <w:tc>
          <w:tcPr>
            <w:tcW w:w="0" w:type="auto"/>
            <w:vAlign w:val="center"/>
            <w:hideMark/>
          </w:tcPr>
          <w:p w:rsidR="006D3C27" w:rsidRPr="006D3C27" w:rsidRDefault="006D3C27" w:rsidP="006D3C27">
            <w:pPr>
              <w:spacing w:line="240" w:lineRule="auto"/>
            </w:pPr>
            <w:r w:rsidRPr="006D3C27">
              <w:t>16.2</w:t>
            </w:r>
          </w:p>
        </w:tc>
      </w:tr>
      <w:tr w:rsidR="006D3C27" w:rsidRPr="006D3C27" w:rsidTr="00763A5D">
        <w:trPr>
          <w:trHeight w:val="315"/>
          <w:tblCellSpacing w:w="15" w:type="dxa"/>
        </w:trPr>
        <w:tc>
          <w:tcPr>
            <w:tcW w:w="0" w:type="auto"/>
            <w:vAlign w:val="center"/>
            <w:hideMark/>
          </w:tcPr>
          <w:p w:rsidR="006D3C27" w:rsidRPr="006D3C27" w:rsidRDefault="006D3C27" w:rsidP="006D3C27">
            <w:pPr>
              <w:spacing w:line="240" w:lineRule="auto"/>
            </w:pPr>
            <w:r w:rsidRPr="006D3C27">
              <w:t>25 x 2.3</w:t>
            </w:r>
          </w:p>
        </w:tc>
        <w:tc>
          <w:tcPr>
            <w:tcW w:w="0" w:type="auto"/>
            <w:vAlign w:val="center"/>
            <w:hideMark/>
          </w:tcPr>
          <w:p w:rsidR="006D3C27" w:rsidRPr="006D3C27" w:rsidRDefault="006D3C27" w:rsidP="006D3C27">
            <w:pPr>
              <w:spacing w:line="240" w:lineRule="auto"/>
            </w:pPr>
            <w:r w:rsidRPr="006D3C27">
              <w:t>20.4</w:t>
            </w:r>
          </w:p>
        </w:tc>
      </w:tr>
    </w:tbl>
    <w:p w:rsidR="00D7782D" w:rsidRDefault="00D7782D" w:rsidP="00E341E3">
      <w:pPr>
        <w:spacing w:line="240" w:lineRule="auto"/>
      </w:pPr>
      <w:r w:rsidRPr="00D7782D">
        <w:rPr>
          <w:u w:val="single"/>
        </w:rPr>
        <w:t>Dernière mise à jour :</w:t>
      </w:r>
      <w:r>
        <w:t xml:space="preserve">  </w:t>
      </w:r>
      <w:r w:rsidR="006D3C27">
        <w:t>14 janvier 2018</w:t>
      </w:r>
      <w:bookmarkStart w:id="5" w:name="_GoBack"/>
      <w:bookmarkEnd w:id="5"/>
    </w:p>
    <w:p w:rsidR="00D7782D" w:rsidRPr="00D7782D" w:rsidRDefault="00D7782D" w:rsidP="00E341E3">
      <w:pPr>
        <w:spacing w:line="240" w:lineRule="auto"/>
        <w:rPr>
          <w:u w:val="single"/>
        </w:rPr>
      </w:pPr>
      <w:r w:rsidRPr="00D7782D">
        <w:rPr>
          <w:u w:val="single"/>
        </w:rPr>
        <w:t>Bibliographie :</w:t>
      </w:r>
    </w:p>
    <w:p w:rsidR="00940C4A" w:rsidRDefault="006D3C27" w:rsidP="00940C4A">
      <w:pPr>
        <w:pStyle w:val="Paragraphedeliste"/>
        <w:numPr>
          <w:ilvl w:val="0"/>
          <w:numId w:val="1"/>
        </w:numPr>
        <w:spacing w:line="240" w:lineRule="auto"/>
      </w:pPr>
      <w:r>
        <w:t xml:space="preserve">NF </w:t>
      </w:r>
      <w:r w:rsidR="00940C4A">
        <w:t>DTU 60.11 – Octobre 1988</w:t>
      </w:r>
    </w:p>
    <w:p w:rsidR="00D7782D" w:rsidRDefault="006D3C27" w:rsidP="00940C4A">
      <w:pPr>
        <w:pStyle w:val="Paragraphedeliste"/>
        <w:numPr>
          <w:ilvl w:val="0"/>
          <w:numId w:val="1"/>
        </w:numPr>
        <w:spacing w:line="240" w:lineRule="auto"/>
      </w:pPr>
      <w:r>
        <w:lastRenderedPageBreak/>
        <w:t>NF DTU 60.1 – Décembre 2012</w:t>
      </w:r>
    </w:p>
    <w:sectPr w:rsidR="00D7782D"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DC42B9E"/>
    <w:multiLevelType w:val="hybridMultilevel"/>
    <w:tmpl w:val="209ED136"/>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nsid w:val="7B1F3624"/>
    <w:multiLevelType w:val="hybridMultilevel"/>
    <w:tmpl w:val="7DDA8E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E3"/>
    <w:rsid w:val="002A3FC4"/>
    <w:rsid w:val="005A4BAF"/>
    <w:rsid w:val="00606B1F"/>
    <w:rsid w:val="00684433"/>
    <w:rsid w:val="006D3C27"/>
    <w:rsid w:val="00740B0C"/>
    <w:rsid w:val="00902D2C"/>
    <w:rsid w:val="009306D1"/>
    <w:rsid w:val="00940C4A"/>
    <w:rsid w:val="00946577"/>
    <w:rsid w:val="00BB2E99"/>
    <w:rsid w:val="00BE392A"/>
    <w:rsid w:val="00D7782D"/>
    <w:rsid w:val="00D8287A"/>
    <w:rsid w:val="00E34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character" w:styleId="Lienhypertexte">
    <w:name w:val="Hyperlink"/>
    <w:basedOn w:val="Policepardfaut"/>
    <w:uiPriority w:val="99"/>
    <w:unhideWhenUsed/>
    <w:rsid w:val="006D3C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character" w:styleId="Lienhypertexte">
    <w:name w:val="Hyperlink"/>
    <w:basedOn w:val="Policepardfaut"/>
    <w:uiPriority w:val="99"/>
    <w:unhideWhenUsed/>
    <w:rsid w:val="006D3C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R%C3%A9ticulation" TargetMode="External"/><Relationship Id="rId3" Type="http://schemas.microsoft.com/office/2007/relationships/stylesWithEffects" Target="stylesWithEffects.xml"/><Relationship Id="rId7" Type="http://schemas.openxmlformats.org/officeDocument/2006/relationships/hyperlink" Target="https://fr.wikipedia.org/wiki/Poly%C3%A9thyl%C3%A8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Poly&#233;thyl&#232;ne_r&#233;ticul&#23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671</Words>
  <Characters>3693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2</cp:revision>
  <dcterms:created xsi:type="dcterms:W3CDTF">2018-01-14T07:16:00Z</dcterms:created>
  <dcterms:modified xsi:type="dcterms:W3CDTF">2018-01-14T07:16:00Z</dcterms:modified>
</cp:coreProperties>
</file>